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AAA" w:rsidRPr="002D42BF" w:rsidRDefault="005B3AAA" w:rsidP="005B3AAA">
      <w:pPr>
        <w:pStyle w:val="Fliesstext"/>
        <w:rPr>
          <w:sz w:val="22"/>
        </w:rPr>
      </w:pPr>
    </w:p>
    <w:p w:rsidR="005B3AAA" w:rsidRPr="002D42BF" w:rsidRDefault="005B3AAA" w:rsidP="005B3AAA">
      <w:pPr>
        <w:pStyle w:val="Fliesstext"/>
        <w:rPr>
          <w:sz w:val="22"/>
        </w:rPr>
      </w:pPr>
      <w:r w:rsidRPr="002D42BF">
        <w:rPr>
          <w:noProof/>
          <w:sz w:val="22"/>
        </w:rPr>
        <w:drawing>
          <wp:inline distT="0" distB="0" distL="0" distR="0">
            <wp:extent cx="6120130" cy="1134374"/>
            <wp:effectExtent l="19050" t="0" r="0" b="0"/>
            <wp:docPr id="3" name="Bild 1" descr="ERP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ERPA_Logo"/>
                    <pic:cNvPicPr>
                      <a:picLocks noChangeAspect="1" noChangeArrowheads="1"/>
                    </pic:cNvPicPr>
                  </pic:nvPicPr>
                  <pic:blipFill>
                    <a:blip r:embed="rId8"/>
                    <a:srcRect b="5511"/>
                    <a:stretch>
                      <a:fillRect/>
                    </a:stretch>
                  </pic:blipFill>
                  <pic:spPr bwMode="auto">
                    <a:xfrm>
                      <a:off x="0" y="0"/>
                      <a:ext cx="6120130" cy="1134374"/>
                    </a:xfrm>
                    <a:prstGeom prst="rect">
                      <a:avLst/>
                    </a:prstGeom>
                    <a:noFill/>
                    <a:ln w="9525">
                      <a:noFill/>
                      <a:miter lim="800000"/>
                      <a:headEnd/>
                      <a:tailEnd/>
                    </a:ln>
                  </pic:spPr>
                </pic:pic>
              </a:graphicData>
            </a:graphic>
          </wp:inline>
        </w:drawing>
      </w:r>
    </w:p>
    <w:p w:rsidR="005B3AAA" w:rsidRPr="002D42BF" w:rsidRDefault="005B3AAA" w:rsidP="005B3AAA">
      <w:pPr>
        <w:pStyle w:val="Fliesstext"/>
        <w:rPr>
          <w:sz w:val="22"/>
        </w:rPr>
      </w:pPr>
    </w:p>
    <w:p w:rsidR="005B3AAA" w:rsidRPr="002D42BF" w:rsidRDefault="005B3AAA" w:rsidP="005B3AAA">
      <w:pPr>
        <w:pStyle w:val="Fliesstext"/>
        <w:rPr>
          <w:sz w:val="22"/>
        </w:rPr>
      </w:pPr>
    </w:p>
    <w:p w:rsidR="005B3AAA" w:rsidRPr="002D42BF" w:rsidRDefault="005B3AAA" w:rsidP="005B3AAA">
      <w:pPr>
        <w:pStyle w:val="Adresszeile"/>
        <w:framePr w:w="0" w:hRule="auto" w:wrap="auto" w:vAnchor="margin" w:xAlign="left" w:yAlign="inline"/>
        <w:rPr>
          <w:sz w:val="22"/>
          <w:szCs w:val="22"/>
        </w:rPr>
      </w:pPr>
      <w:r w:rsidRPr="002D42BF">
        <w:rPr>
          <w:sz w:val="22"/>
          <w:szCs w:val="22"/>
        </w:rPr>
        <w:t>EUROPEAN RIGID PVC-FILM ASSOCIATION</w:t>
      </w:r>
    </w:p>
    <w:p w:rsidR="005B3AAA" w:rsidRPr="002D42BF" w:rsidRDefault="005B3AAA" w:rsidP="005B3AAA">
      <w:pPr>
        <w:pStyle w:val="Adresszeile"/>
        <w:framePr w:w="0" w:hRule="auto" w:wrap="auto" w:vAnchor="margin" w:xAlign="left" w:yAlign="inline"/>
        <w:rPr>
          <w:sz w:val="22"/>
          <w:szCs w:val="22"/>
        </w:rPr>
      </w:pPr>
      <w:r w:rsidRPr="002D42BF">
        <w:rPr>
          <w:sz w:val="22"/>
          <w:szCs w:val="22"/>
        </w:rPr>
        <w:t>Industriepark Höchst F 821 65926 Frankfurt am Main</w:t>
      </w:r>
      <w:r w:rsidRPr="002D42BF">
        <w:rPr>
          <w:sz w:val="22"/>
          <w:szCs w:val="22"/>
        </w:rPr>
        <w:br/>
      </w:r>
    </w:p>
    <w:p w:rsidR="00D009F0" w:rsidRPr="002D42BF" w:rsidRDefault="00D009F0" w:rsidP="009A1B74">
      <w:pPr>
        <w:pStyle w:val="Textkrper"/>
        <w:ind w:left="0"/>
        <w:jc w:val="both"/>
        <w:rPr>
          <w:rFonts w:cs="Arial"/>
          <w:sz w:val="22"/>
          <w:szCs w:val="22"/>
          <w:lang w:val="de-DE"/>
        </w:rPr>
      </w:pPr>
    </w:p>
    <w:p w:rsidR="002D42BF" w:rsidRPr="002D42BF" w:rsidRDefault="002D42BF" w:rsidP="009A1B74">
      <w:pPr>
        <w:pStyle w:val="Textkrper"/>
        <w:ind w:left="0"/>
        <w:jc w:val="both"/>
        <w:rPr>
          <w:rFonts w:cs="Arial"/>
          <w:sz w:val="22"/>
          <w:szCs w:val="22"/>
          <w:lang w:val="de-DE"/>
        </w:rPr>
      </w:pPr>
    </w:p>
    <w:p w:rsidR="002D42BF" w:rsidRPr="002D42BF" w:rsidRDefault="002D42BF" w:rsidP="009A1B74">
      <w:pPr>
        <w:pStyle w:val="Textkrper"/>
        <w:ind w:left="0"/>
        <w:jc w:val="both"/>
        <w:rPr>
          <w:rFonts w:cs="Arial"/>
          <w:sz w:val="22"/>
          <w:szCs w:val="22"/>
          <w:lang w:val="de-DE"/>
        </w:rPr>
      </w:pPr>
    </w:p>
    <w:p w:rsidR="002D42BF" w:rsidRPr="002D42BF" w:rsidRDefault="002D42BF" w:rsidP="009A1B74">
      <w:pPr>
        <w:pStyle w:val="Textkrper"/>
        <w:ind w:left="0"/>
        <w:jc w:val="both"/>
        <w:rPr>
          <w:rFonts w:cs="Arial"/>
          <w:sz w:val="22"/>
          <w:szCs w:val="22"/>
          <w:lang w:val="de-DE"/>
        </w:rPr>
      </w:pPr>
    </w:p>
    <w:p w:rsidR="002D42BF" w:rsidRPr="002D42BF" w:rsidRDefault="002D42BF" w:rsidP="009A1B74">
      <w:pPr>
        <w:pStyle w:val="Textkrper"/>
        <w:ind w:left="0"/>
        <w:jc w:val="both"/>
        <w:rPr>
          <w:rFonts w:cs="Arial"/>
          <w:sz w:val="22"/>
          <w:szCs w:val="22"/>
          <w:lang w:val="de-DE"/>
        </w:rPr>
      </w:pPr>
    </w:p>
    <w:p w:rsidR="002D42BF" w:rsidRPr="002D42BF" w:rsidRDefault="002D42BF" w:rsidP="009A1B74">
      <w:pPr>
        <w:pStyle w:val="Textkrper"/>
        <w:ind w:left="0"/>
        <w:jc w:val="both"/>
        <w:rPr>
          <w:rFonts w:cs="Arial"/>
          <w:sz w:val="22"/>
          <w:szCs w:val="22"/>
          <w:lang w:val="de-DE"/>
        </w:rPr>
      </w:pPr>
    </w:p>
    <w:p w:rsidR="002D42BF" w:rsidRPr="002D42BF" w:rsidRDefault="002D42BF" w:rsidP="009A1B74">
      <w:pPr>
        <w:pStyle w:val="Textkrper"/>
        <w:ind w:left="0"/>
        <w:jc w:val="both"/>
        <w:rPr>
          <w:rFonts w:cs="Arial"/>
          <w:sz w:val="22"/>
          <w:szCs w:val="22"/>
          <w:lang w:val="de-DE"/>
        </w:rPr>
      </w:pPr>
    </w:p>
    <w:tbl>
      <w:tblPr>
        <w:tblW w:w="9747" w:type="dxa"/>
        <w:tblLayout w:type="fixed"/>
        <w:tblLook w:val="04A0"/>
      </w:tblPr>
      <w:tblGrid>
        <w:gridCol w:w="2376"/>
        <w:gridCol w:w="7371"/>
      </w:tblGrid>
      <w:tr w:rsidR="002D42BF" w:rsidRPr="00D614FB" w:rsidTr="002D42BF">
        <w:trPr>
          <w:trHeight w:val="371"/>
        </w:trPr>
        <w:tc>
          <w:tcPr>
            <w:tcW w:w="2376" w:type="dxa"/>
          </w:tcPr>
          <w:p w:rsidR="002D42BF" w:rsidRPr="002D42BF" w:rsidRDefault="00703E9A" w:rsidP="00703E9A">
            <w:pPr>
              <w:pStyle w:val="C0PlainText"/>
              <w:spacing w:before="0" w:after="0"/>
              <w:jc w:val="left"/>
              <w:rPr>
                <w:rFonts w:ascii="Arial" w:hAnsi="Arial" w:cs="Arial"/>
                <w:b/>
                <w:szCs w:val="22"/>
              </w:rPr>
            </w:pPr>
            <w:r>
              <w:rPr>
                <w:rFonts w:ascii="Arial" w:hAnsi="Arial" w:cs="Arial"/>
                <w:b/>
                <w:sz w:val="22"/>
                <w:szCs w:val="22"/>
              </w:rPr>
              <w:t>Association</w:t>
            </w:r>
            <w:r w:rsidR="002D42BF" w:rsidRPr="002D42BF">
              <w:rPr>
                <w:rFonts w:ascii="Arial" w:hAnsi="Arial" w:cs="Arial"/>
                <w:b/>
                <w:sz w:val="22"/>
                <w:szCs w:val="22"/>
              </w:rPr>
              <w:t>:</w:t>
            </w:r>
          </w:p>
        </w:tc>
        <w:tc>
          <w:tcPr>
            <w:tcW w:w="7371" w:type="dxa"/>
          </w:tcPr>
          <w:p w:rsidR="002D42BF" w:rsidRPr="002D42BF" w:rsidRDefault="00E108C4" w:rsidP="002D42BF">
            <w:pPr>
              <w:pStyle w:val="C0PlainText"/>
              <w:spacing w:before="0" w:after="0"/>
              <w:jc w:val="left"/>
              <w:rPr>
                <w:rFonts w:ascii="Arial" w:hAnsi="Arial" w:cs="Arial"/>
                <w:b/>
                <w:szCs w:val="22"/>
              </w:rPr>
            </w:pPr>
            <w:r w:rsidRPr="00E108C4">
              <w:rPr>
                <w:rFonts w:ascii="Arial" w:hAnsi="Arial" w:cs="Arial"/>
                <w:b/>
                <w:sz w:val="22"/>
                <w:szCs w:val="22"/>
              </w:rPr>
              <w:t xml:space="preserve">EUROPEAN RIGID PVC-FILM ASSOCIATION </w:t>
            </w:r>
            <w:r>
              <w:rPr>
                <w:rFonts w:ascii="Arial" w:hAnsi="Arial" w:cs="Arial"/>
                <w:b/>
                <w:sz w:val="22"/>
                <w:szCs w:val="22"/>
              </w:rPr>
              <w:t>(</w:t>
            </w:r>
            <w:r w:rsidR="002D42BF" w:rsidRPr="002D42BF">
              <w:rPr>
                <w:rFonts w:ascii="Arial" w:hAnsi="Arial" w:cs="Arial"/>
                <w:b/>
                <w:sz w:val="22"/>
                <w:szCs w:val="22"/>
              </w:rPr>
              <w:t>ERPA</w:t>
            </w:r>
            <w:r>
              <w:rPr>
                <w:rFonts w:ascii="Arial" w:hAnsi="Arial" w:cs="Arial"/>
                <w:b/>
                <w:sz w:val="22"/>
                <w:szCs w:val="22"/>
              </w:rPr>
              <w:t>)</w:t>
            </w:r>
          </w:p>
          <w:p w:rsidR="002D42BF" w:rsidRPr="002D42BF" w:rsidRDefault="002D42BF" w:rsidP="002D42BF">
            <w:pPr>
              <w:pStyle w:val="C0PlainText"/>
              <w:spacing w:before="0" w:after="0"/>
              <w:jc w:val="left"/>
              <w:rPr>
                <w:rFonts w:ascii="Arial" w:hAnsi="Arial" w:cs="Arial"/>
                <w:b/>
                <w:szCs w:val="22"/>
              </w:rPr>
            </w:pPr>
          </w:p>
          <w:p w:rsidR="002D42BF" w:rsidRPr="002D42BF" w:rsidRDefault="002D42BF" w:rsidP="002D42BF">
            <w:pPr>
              <w:pStyle w:val="C0PlainText"/>
              <w:spacing w:before="0" w:after="0"/>
              <w:jc w:val="left"/>
              <w:rPr>
                <w:rFonts w:ascii="Arial" w:hAnsi="Arial" w:cs="Arial"/>
                <w:b/>
                <w:szCs w:val="22"/>
              </w:rPr>
            </w:pPr>
          </w:p>
        </w:tc>
      </w:tr>
      <w:tr w:rsidR="002D42BF" w:rsidRPr="00D614FB" w:rsidTr="002D42BF">
        <w:trPr>
          <w:trHeight w:val="80"/>
        </w:trPr>
        <w:tc>
          <w:tcPr>
            <w:tcW w:w="2376" w:type="dxa"/>
          </w:tcPr>
          <w:p w:rsidR="002D42BF" w:rsidRPr="002D42BF" w:rsidRDefault="002D42BF" w:rsidP="002D42BF">
            <w:pPr>
              <w:pStyle w:val="C0PlainText"/>
              <w:spacing w:before="0" w:after="0"/>
              <w:jc w:val="left"/>
              <w:rPr>
                <w:rFonts w:ascii="Arial" w:hAnsi="Arial" w:cs="Arial"/>
                <w:b/>
                <w:szCs w:val="22"/>
              </w:rPr>
            </w:pPr>
            <w:r w:rsidRPr="002D42BF">
              <w:rPr>
                <w:rFonts w:ascii="Arial" w:hAnsi="Arial" w:cs="Arial"/>
                <w:b/>
                <w:sz w:val="22"/>
                <w:szCs w:val="22"/>
              </w:rPr>
              <w:t>Subject:</w:t>
            </w:r>
          </w:p>
        </w:tc>
        <w:tc>
          <w:tcPr>
            <w:tcW w:w="7371" w:type="dxa"/>
          </w:tcPr>
          <w:p w:rsidR="002D42BF" w:rsidRPr="00C501B9" w:rsidRDefault="002D42BF" w:rsidP="002D42BF">
            <w:pPr>
              <w:pStyle w:val="C0PlainText"/>
              <w:spacing w:before="0" w:after="0"/>
              <w:jc w:val="left"/>
              <w:rPr>
                <w:rFonts w:ascii="Arial" w:hAnsi="Arial" w:cs="Arial"/>
                <w:b/>
                <w:szCs w:val="22"/>
                <w:lang w:val="en-US"/>
              </w:rPr>
            </w:pPr>
            <w:r w:rsidRPr="002D42BF">
              <w:rPr>
                <w:rFonts w:ascii="Arial" w:hAnsi="Arial" w:cs="Arial"/>
                <w:b/>
                <w:sz w:val="22"/>
                <w:szCs w:val="22"/>
              </w:rPr>
              <w:t xml:space="preserve">Comments For Public Consultation </w:t>
            </w:r>
            <w:r w:rsidR="00C501B9" w:rsidRPr="00C501B9">
              <w:rPr>
                <w:rFonts w:ascii="Arial" w:hAnsi="Arial" w:cs="Arial"/>
                <w:b/>
                <w:bCs/>
                <w:sz w:val="22"/>
                <w:szCs w:val="22"/>
                <w:lang w:val="en-US"/>
              </w:rPr>
              <w:t>reaction mass of DOTE and MOTE: RMDM</w:t>
            </w:r>
          </w:p>
          <w:p w:rsidR="002D42BF" w:rsidRPr="002D42BF" w:rsidRDefault="002D42BF" w:rsidP="00E108C4">
            <w:pPr>
              <w:pStyle w:val="C0PlainText"/>
              <w:spacing w:before="0" w:after="0"/>
              <w:jc w:val="left"/>
              <w:rPr>
                <w:rFonts w:ascii="Arial" w:hAnsi="Arial" w:cs="Arial"/>
                <w:b/>
                <w:szCs w:val="22"/>
              </w:rPr>
            </w:pPr>
          </w:p>
        </w:tc>
      </w:tr>
    </w:tbl>
    <w:p w:rsidR="002D42BF" w:rsidRPr="002D42BF" w:rsidRDefault="002D42BF" w:rsidP="002D42BF">
      <w:pPr>
        <w:pStyle w:val="berschrift2"/>
        <w:numPr>
          <w:ilvl w:val="0"/>
          <w:numId w:val="0"/>
        </w:numPr>
        <w:spacing w:before="0"/>
        <w:rPr>
          <w:rFonts w:ascii="Arial" w:hAnsi="Arial" w:cs="Arial"/>
          <w:color w:val="auto"/>
          <w:sz w:val="22"/>
          <w:szCs w:val="22"/>
        </w:rPr>
      </w:pPr>
    </w:p>
    <w:p w:rsidR="002D42BF" w:rsidRPr="002D42BF" w:rsidRDefault="002D42BF" w:rsidP="002D42BF">
      <w:pPr>
        <w:pStyle w:val="C1PlainText"/>
        <w:spacing w:before="0" w:after="0"/>
        <w:ind w:left="0"/>
        <w:rPr>
          <w:rFonts w:ascii="Arial" w:hAnsi="Arial" w:cs="Arial"/>
          <w:sz w:val="22"/>
          <w:szCs w:val="22"/>
        </w:rPr>
      </w:pPr>
    </w:p>
    <w:p w:rsidR="002D42BF" w:rsidRPr="002D42BF" w:rsidRDefault="002D42BF" w:rsidP="002D42BF">
      <w:pPr>
        <w:pStyle w:val="C1PlainText"/>
        <w:spacing w:before="0" w:after="0"/>
        <w:ind w:left="0"/>
        <w:rPr>
          <w:rFonts w:ascii="Arial" w:hAnsi="Arial" w:cs="Arial"/>
          <w:sz w:val="22"/>
          <w:szCs w:val="22"/>
        </w:rPr>
      </w:pPr>
    </w:p>
    <w:p w:rsidR="002D42BF" w:rsidRPr="002D42BF" w:rsidRDefault="002D42BF" w:rsidP="002D42BF">
      <w:pPr>
        <w:pStyle w:val="C1PlainText"/>
        <w:spacing w:before="0" w:after="0"/>
        <w:ind w:left="0"/>
        <w:jc w:val="right"/>
        <w:rPr>
          <w:rFonts w:ascii="Arial" w:hAnsi="Arial" w:cs="Arial"/>
          <w:sz w:val="22"/>
          <w:szCs w:val="22"/>
        </w:rPr>
      </w:pPr>
      <w:r w:rsidRPr="002D42BF">
        <w:rPr>
          <w:rFonts w:ascii="Arial" w:hAnsi="Arial" w:cs="Arial"/>
          <w:sz w:val="22"/>
          <w:szCs w:val="22"/>
        </w:rPr>
        <w:t>Frankfurt 15 October 2014</w:t>
      </w:r>
    </w:p>
    <w:p w:rsidR="002D42BF" w:rsidRPr="002D42BF" w:rsidRDefault="002D42BF" w:rsidP="002D42BF">
      <w:pPr>
        <w:pStyle w:val="C1PlainText"/>
        <w:spacing w:before="0" w:after="0"/>
        <w:ind w:left="0"/>
        <w:rPr>
          <w:rFonts w:ascii="Arial" w:hAnsi="Arial" w:cs="Arial"/>
          <w:sz w:val="22"/>
          <w:szCs w:val="22"/>
        </w:rPr>
      </w:pPr>
    </w:p>
    <w:p w:rsidR="002D42BF" w:rsidRDefault="002D42BF" w:rsidP="002D42BF">
      <w:pPr>
        <w:pStyle w:val="C1PlainText"/>
        <w:spacing w:before="0" w:after="0"/>
        <w:ind w:left="0"/>
        <w:rPr>
          <w:rFonts w:ascii="Arial" w:hAnsi="Arial" w:cs="Arial"/>
          <w:sz w:val="22"/>
          <w:szCs w:val="22"/>
        </w:rPr>
      </w:pPr>
    </w:p>
    <w:p w:rsidR="00B26C16" w:rsidRPr="002D42BF" w:rsidRDefault="00B26C16" w:rsidP="002D42BF">
      <w:pPr>
        <w:pStyle w:val="C1PlainText"/>
        <w:spacing w:before="0" w:after="0"/>
        <w:ind w:left="0"/>
        <w:rPr>
          <w:rFonts w:ascii="Arial" w:hAnsi="Arial" w:cs="Arial"/>
          <w:sz w:val="22"/>
          <w:szCs w:val="22"/>
        </w:rPr>
      </w:pPr>
    </w:p>
    <w:p w:rsidR="00B26C16" w:rsidRPr="00B26C16" w:rsidRDefault="00B26C16" w:rsidP="00B26C16">
      <w:pPr>
        <w:pStyle w:val="C1PlainText"/>
        <w:ind w:left="0"/>
        <w:rPr>
          <w:rFonts w:ascii="Arial" w:hAnsi="Arial" w:cs="Arial"/>
          <w:b/>
          <w:sz w:val="22"/>
          <w:szCs w:val="22"/>
        </w:rPr>
      </w:pPr>
      <w:r w:rsidRPr="00AF491F">
        <w:rPr>
          <w:rFonts w:ascii="Arial" w:hAnsi="Arial" w:cs="Arial"/>
          <w:b/>
          <w:color w:val="FF0000"/>
          <w:sz w:val="22"/>
          <w:szCs w:val="22"/>
        </w:rPr>
        <w:t>Page 1</w:t>
      </w:r>
      <w:r w:rsidR="00AF3F57">
        <w:rPr>
          <w:rFonts w:ascii="Arial" w:hAnsi="Arial" w:cs="Arial"/>
          <w:b/>
          <w:color w:val="FF0000"/>
          <w:sz w:val="22"/>
          <w:szCs w:val="22"/>
        </w:rPr>
        <w:t>3</w:t>
      </w:r>
      <w:r w:rsidRPr="00AF491F">
        <w:rPr>
          <w:rFonts w:ascii="Arial" w:hAnsi="Arial" w:cs="Arial"/>
          <w:b/>
          <w:color w:val="FF0000"/>
          <w:sz w:val="22"/>
          <w:szCs w:val="22"/>
        </w:rPr>
        <w:t>:</w:t>
      </w:r>
      <w:r w:rsidRPr="00B26C16">
        <w:rPr>
          <w:rFonts w:ascii="Arial" w:hAnsi="Arial" w:cs="Arial"/>
          <w:b/>
          <w:sz w:val="22"/>
          <w:szCs w:val="22"/>
        </w:rPr>
        <w:t xml:space="preserve"> </w:t>
      </w:r>
      <w:r w:rsidR="003D3C37" w:rsidRPr="00B26C16">
        <w:rPr>
          <w:rFonts w:ascii="Arial" w:hAnsi="Arial" w:cs="Arial"/>
          <w:b/>
          <w:sz w:val="22"/>
          <w:szCs w:val="22"/>
        </w:rPr>
        <w:t xml:space="preserve">Comments </w:t>
      </w:r>
      <w:r w:rsidR="001B7DEE">
        <w:rPr>
          <w:rFonts w:ascii="Arial" w:hAnsi="Arial" w:cs="Arial"/>
          <w:b/>
          <w:sz w:val="22"/>
          <w:szCs w:val="22"/>
        </w:rPr>
        <w:t>on</w:t>
      </w:r>
      <w:r w:rsidR="003D3C37" w:rsidRPr="00B26C16">
        <w:rPr>
          <w:rFonts w:ascii="Arial" w:hAnsi="Arial" w:cs="Arial"/>
          <w:b/>
          <w:sz w:val="22"/>
          <w:szCs w:val="22"/>
        </w:rPr>
        <w:t xml:space="preserve"> </w:t>
      </w:r>
      <w:r>
        <w:rPr>
          <w:rFonts w:ascii="Arial" w:hAnsi="Arial" w:cs="Arial"/>
          <w:b/>
          <w:sz w:val="22"/>
          <w:szCs w:val="22"/>
        </w:rPr>
        <w:t>CMR assessment</w:t>
      </w:r>
    </w:p>
    <w:p w:rsidR="00B26C16" w:rsidRPr="00B26C16" w:rsidRDefault="00B26C16" w:rsidP="00B26C16">
      <w:pPr>
        <w:pStyle w:val="C1PlainText"/>
        <w:ind w:left="0"/>
        <w:rPr>
          <w:rFonts w:ascii="Arial" w:hAnsi="Arial" w:cs="Arial"/>
          <w:b/>
          <w:sz w:val="22"/>
          <w:szCs w:val="22"/>
        </w:rPr>
      </w:pPr>
      <w:r w:rsidRPr="00B26C16">
        <w:rPr>
          <w:rFonts w:ascii="Arial" w:hAnsi="Arial" w:cs="Arial"/>
          <w:b/>
          <w:sz w:val="22"/>
          <w:szCs w:val="22"/>
        </w:rPr>
        <w:t>Annex XV Dossier by Austria does not substantiate the reproductive toxicity Cat. 1B, at any rate, not before 1 January 2015.</w:t>
      </w:r>
    </w:p>
    <w:p w:rsidR="00B26C16" w:rsidRPr="00B26C16" w:rsidRDefault="00B26C16" w:rsidP="00B26C16">
      <w:pPr>
        <w:pStyle w:val="C1PlainText"/>
        <w:rPr>
          <w:rFonts w:ascii="Arial" w:hAnsi="Arial" w:cs="Arial"/>
          <w:sz w:val="22"/>
          <w:szCs w:val="22"/>
        </w:rPr>
      </w:pPr>
    </w:p>
    <w:p w:rsidR="00B26C16" w:rsidRPr="00B26C16" w:rsidRDefault="00B26C16" w:rsidP="00B26C16">
      <w:pPr>
        <w:pStyle w:val="C1PlainText"/>
        <w:ind w:left="0"/>
        <w:rPr>
          <w:rFonts w:ascii="Arial" w:hAnsi="Arial" w:cs="Arial"/>
          <w:sz w:val="22"/>
          <w:szCs w:val="22"/>
        </w:rPr>
      </w:pPr>
      <w:r w:rsidRPr="00B26C16">
        <w:rPr>
          <w:rFonts w:ascii="Arial" w:hAnsi="Arial" w:cs="Arial"/>
          <w:sz w:val="22"/>
          <w:szCs w:val="22"/>
        </w:rPr>
        <w:t>At the time of the submission of Annex XV SVHC Dossier by Austria (4 August 2014), DOTE was no candidate substance for the Authorisation List of REACH Regulation 1907/2006. Accordingly, a dossier was submitted for a non-SVHC substance.</w:t>
      </w:r>
    </w:p>
    <w:p w:rsidR="00B26C16" w:rsidRPr="00B26C16" w:rsidRDefault="00B26C16" w:rsidP="00B26C16">
      <w:pPr>
        <w:pStyle w:val="C1PlainText"/>
        <w:ind w:left="0"/>
        <w:rPr>
          <w:rFonts w:ascii="Arial" w:hAnsi="Arial" w:cs="Arial"/>
          <w:sz w:val="22"/>
          <w:szCs w:val="22"/>
        </w:rPr>
      </w:pPr>
      <w:proofErr w:type="gramStart"/>
      <w:r w:rsidRPr="00B26C16">
        <w:rPr>
          <w:rFonts w:ascii="Arial" w:hAnsi="Arial" w:cs="Arial"/>
          <w:sz w:val="22"/>
          <w:szCs w:val="22"/>
        </w:rPr>
        <w:t>Pursuant to Art.</w:t>
      </w:r>
      <w:proofErr w:type="gramEnd"/>
      <w:r w:rsidRPr="00B26C16">
        <w:rPr>
          <w:rFonts w:ascii="Arial" w:hAnsi="Arial" w:cs="Arial"/>
          <w:sz w:val="22"/>
          <w:szCs w:val="22"/>
        </w:rPr>
        <w:t xml:space="preserve"> 59 (3) REACH, each Member State can prepare an Annex XV Dossier for substances, which in its opinion fulfil the criteria of Art. </w:t>
      </w:r>
      <w:proofErr w:type="gramStart"/>
      <w:r w:rsidRPr="00B26C16">
        <w:rPr>
          <w:rFonts w:ascii="Arial" w:hAnsi="Arial" w:cs="Arial"/>
          <w:sz w:val="22"/>
          <w:szCs w:val="22"/>
        </w:rPr>
        <w:t>57 REACH.</w:t>
      </w:r>
      <w:proofErr w:type="gramEnd"/>
    </w:p>
    <w:p w:rsidR="00B26C16" w:rsidRPr="00B26C16" w:rsidRDefault="00B26C16" w:rsidP="00B26C16">
      <w:pPr>
        <w:pStyle w:val="C1PlainText"/>
        <w:ind w:left="0"/>
        <w:rPr>
          <w:rFonts w:ascii="Arial" w:hAnsi="Arial" w:cs="Arial"/>
          <w:sz w:val="22"/>
          <w:szCs w:val="22"/>
        </w:rPr>
      </w:pPr>
      <w:r w:rsidRPr="00B26C16">
        <w:rPr>
          <w:rFonts w:ascii="Arial" w:hAnsi="Arial" w:cs="Arial"/>
          <w:sz w:val="22"/>
          <w:szCs w:val="22"/>
        </w:rPr>
        <w:t xml:space="preserve">Art. 57 REACH </w:t>
      </w:r>
      <w:proofErr w:type="spellStart"/>
      <w:r w:rsidRPr="00B26C16">
        <w:rPr>
          <w:rFonts w:ascii="Arial" w:hAnsi="Arial" w:cs="Arial"/>
          <w:sz w:val="22"/>
          <w:szCs w:val="22"/>
        </w:rPr>
        <w:t>concludingly</w:t>
      </w:r>
      <w:proofErr w:type="spellEnd"/>
      <w:r w:rsidRPr="00B26C16">
        <w:rPr>
          <w:rFonts w:ascii="Arial" w:hAnsi="Arial" w:cs="Arial"/>
          <w:sz w:val="22"/>
          <w:szCs w:val="22"/>
        </w:rPr>
        <w:t xml:space="preserve"> defines the criteria for the inclusion in the Authorisation List. </w:t>
      </w:r>
      <w:proofErr w:type="gramStart"/>
      <w:r w:rsidRPr="00B26C16">
        <w:rPr>
          <w:rFonts w:ascii="Arial" w:hAnsi="Arial" w:cs="Arial"/>
          <w:sz w:val="22"/>
          <w:szCs w:val="22"/>
        </w:rPr>
        <w:t>The criterion pursuant to Art.</w:t>
      </w:r>
      <w:proofErr w:type="gramEnd"/>
      <w:r w:rsidRPr="00B26C16">
        <w:rPr>
          <w:rFonts w:ascii="Arial" w:hAnsi="Arial" w:cs="Arial"/>
          <w:sz w:val="22"/>
          <w:szCs w:val="22"/>
        </w:rPr>
        <w:t xml:space="preserve"> 57 c) REACH applies here. According to it, exclusively substances are to be included in the Authorisation List which meet the criteria for the classification in the hazard class reproductive toxicity category 1A or 1B in accordance with section 3.7 of annex I to regulation (EC) No 1272/2008, CLP.</w:t>
      </w:r>
    </w:p>
    <w:p w:rsidR="00B26C16" w:rsidRPr="00B26C16" w:rsidRDefault="00B26C16" w:rsidP="00B26C16">
      <w:pPr>
        <w:pStyle w:val="C1PlainText"/>
        <w:ind w:left="0"/>
        <w:rPr>
          <w:rFonts w:ascii="Arial" w:hAnsi="Arial" w:cs="Arial"/>
          <w:sz w:val="22"/>
          <w:szCs w:val="22"/>
        </w:rPr>
      </w:pPr>
    </w:p>
    <w:p w:rsidR="00B26C16" w:rsidRPr="00B26C16" w:rsidRDefault="00B26C16" w:rsidP="00B26C16">
      <w:pPr>
        <w:pStyle w:val="C1PlainText"/>
        <w:ind w:left="0"/>
        <w:rPr>
          <w:rFonts w:ascii="Arial" w:hAnsi="Arial" w:cs="Arial"/>
          <w:sz w:val="22"/>
          <w:szCs w:val="22"/>
        </w:rPr>
      </w:pPr>
      <w:r w:rsidRPr="00B26C16">
        <w:rPr>
          <w:rFonts w:ascii="Arial" w:hAnsi="Arial" w:cs="Arial"/>
          <w:sz w:val="22"/>
          <w:szCs w:val="22"/>
        </w:rPr>
        <w:t xml:space="preserve">In annex I section 3.7, the CLP regulation stipulates over several pages under which conditions a substance or a mixture is to be classified as toxic to reproduction Cat. </w:t>
      </w:r>
      <w:proofErr w:type="gramStart"/>
      <w:r w:rsidRPr="00B26C16">
        <w:rPr>
          <w:rFonts w:ascii="Arial" w:hAnsi="Arial" w:cs="Arial"/>
          <w:sz w:val="22"/>
          <w:szCs w:val="22"/>
        </w:rPr>
        <w:t>1A or 1B.</w:t>
      </w:r>
      <w:proofErr w:type="gramEnd"/>
      <w:r w:rsidRPr="00B26C16">
        <w:rPr>
          <w:rFonts w:ascii="Arial" w:hAnsi="Arial" w:cs="Arial"/>
          <w:sz w:val="22"/>
          <w:szCs w:val="22"/>
        </w:rPr>
        <w:t xml:space="preserve"> For the classification of substances, section 3.7 contains extensive explanations on the classification principles, the determination of the authenticity of the data, the determination of maternal toxicity, the admissible animal test data etc.</w:t>
      </w:r>
    </w:p>
    <w:p w:rsidR="00B26C16" w:rsidRDefault="00B26C16" w:rsidP="00B26C16">
      <w:pPr>
        <w:pStyle w:val="C1PlainText"/>
        <w:ind w:left="0"/>
        <w:rPr>
          <w:rFonts w:ascii="Arial" w:hAnsi="Arial" w:cs="Arial"/>
          <w:sz w:val="22"/>
          <w:szCs w:val="22"/>
        </w:rPr>
      </w:pPr>
      <w:r w:rsidRPr="00B26C16">
        <w:rPr>
          <w:rFonts w:ascii="Arial" w:hAnsi="Arial" w:cs="Arial"/>
          <w:sz w:val="22"/>
          <w:szCs w:val="22"/>
        </w:rPr>
        <w:t xml:space="preserve">The Annex XV Dossier contains no details on the necessary information according to the CLP regulation for the correct classification as toxic to reproduction Cat. 1B. </w:t>
      </w:r>
      <w:proofErr w:type="gramStart"/>
      <w:r w:rsidRPr="00B26C16">
        <w:rPr>
          <w:rFonts w:ascii="Arial" w:hAnsi="Arial" w:cs="Arial"/>
          <w:sz w:val="22"/>
          <w:szCs w:val="22"/>
        </w:rPr>
        <w:t>There</w:t>
      </w:r>
      <w:proofErr w:type="gramEnd"/>
      <w:r w:rsidRPr="00B26C16">
        <w:rPr>
          <w:rFonts w:ascii="Arial" w:hAnsi="Arial" w:cs="Arial"/>
          <w:sz w:val="22"/>
          <w:szCs w:val="22"/>
        </w:rPr>
        <w:t xml:space="preserve"> is no evaluation as to how far DOTE corresponds to the criteria defined in annex I section 3.7 of the CLP regulation.</w:t>
      </w:r>
    </w:p>
    <w:p w:rsidR="00AF491F" w:rsidRDefault="00AF491F" w:rsidP="00B26C16">
      <w:pPr>
        <w:pStyle w:val="C1PlainText"/>
        <w:ind w:left="0"/>
        <w:rPr>
          <w:rFonts w:ascii="Arial" w:hAnsi="Arial" w:cs="Arial"/>
          <w:sz w:val="22"/>
          <w:szCs w:val="22"/>
        </w:rPr>
      </w:pPr>
    </w:p>
    <w:p w:rsidR="00AF491F" w:rsidRDefault="00AF491F" w:rsidP="00B26C16">
      <w:pPr>
        <w:pStyle w:val="C1PlainText"/>
        <w:ind w:left="0"/>
        <w:rPr>
          <w:rFonts w:ascii="Arial" w:hAnsi="Arial" w:cs="Arial"/>
          <w:sz w:val="22"/>
          <w:szCs w:val="22"/>
        </w:rPr>
      </w:pPr>
    </w:p>
    <w:p w:rsidR="00AF491F" w:rsidRDefault="00AF491F" w:rsidP="00AF491F">
      <w:pPr>
        <w:jc w:val="center"/>
        <w:rPr>
          <w:rFonts w:cs="Arial"/>
          <w:sz w:val="22"/>
          <w:szCs w:val="22"/>
          <w:lang w:val="en-US"/>
        </w:rPr>
      </w:pPr>
      <w:r>
        <w:rPr>
          <w:rFonts w:cs="Arial"/>
          <w:sz w:val="22"/>
          <w:szCs w:val="22"/>
          <w:lang w:val="en-US"/>
        </w:rPr>
        <w:t>- 2 -</w:t>
      </w:r>
    </w:p>
    <w:p w:rsidR="00AF491F" w:rsidRDefault="00AF491F" w:rsidP="00B26C16">
      <w:pPr>
        <w:pStyle w:val="C1PlainText"/>
        <w:ind w:left="0"/>
        <w:rPr>
          <w:rFonts w:ascii="Arial" w:hAnsi="Arial" w:cs="Arial"/>
          <w:sz w:val="22"/>
          <w:szCs w:val="22"/>
        </w:rPr>
      </w:pPr>
    </w:p>
    <w:p w:rsidR="00AF491F" w:rsidRDefault="00AF491F" w:rsidP="00B26C16">
      <w:pPr>
        <w:pStyle w:val="C1PlainText"/>
        <w:ind w:left="0"/>
        <w:rPr>
          <w:rFonts w:ascii="Arial" w:hAnsi="Arial" w:cs="Arial"/>
          <w:sz w:val="22"/>
          <w:szCs w:val="22"/>
        </w:rPr>
      </w:pPr>
    </w:p>
    <w:p w:rsidR="00B26C16" w:rsidRPr="00B26C16" w:rsidRDefault="00B26C16" w:rsidP="00B26C16">
      <w:pPr>
        <w:pStyle w:val="C1PlainText"/>
        <w:ind w:left="0"/>
        <w:rPr>
          <w:rFonts w:ascii="Arial" w:hAnsi="Arial" w:cs="Arial"/>
          <w:sz w:val="22"/>
          <w:szCs w:val="22"/>
        </w:rPr>
      </w:pPr>
      <w:r w:rsidRPr="00B26C16">
        <w:rPr>
          <w:rFonts w:ascii="Arial" w:hAnsi="Arial" w:cs="Arial"/>
          <w:sz w:val="22"/>
          <w:szCs w:val="22"/>
        </w:rPr>
        <w:t xml:space="preserve">The Annex XV Dossier refers under 6.1 'CMR Assessment' merely to annex III of Regulation 944/2013/EU amending, for the purposes of its adaptation to technical and scientific progress, Regulation 1272/2008 on classification, labelling and packaging of substances and mixtures. According to this regulation DOTE will be listed in Table 3.1 (List of harmonised classification and labelling of hazardous substances) of Annex VI, part 3, of CLP Regulation as toxic for reproduction </w:t>
      </w:r>
      <w:proofErr w:type="spellStart"/>
      <w:r w:rsidRPr="00B26C16">
        <w:rPr>
          <w:rFonts w:ascii="Arial" w:hAnsi="Arial" w:cs="Arial"/>
          <w:sz w:val="22"/>
          <w:szCs w:val="22"/>
        </w:rPr>
        <w:t>Repr</w:t>
      </w:r>
      <w:proofErr w:type="spellEnd"/>
      <w:r w:rsidRPr="00B26C16">
        <w:rPr>
          <w:rFonts w:ascii="Arial" w:hAnsi="Arial" w:cs="Arial"/>
          <w:sz w:val="22"/>
          <w:szCs w:val="22"/>
        </w:rPr>
        <w:t>. 1B, H360D (may damage the unborn child).</w:t>
      </w:r>
    </w:p>
    <w:p w:rsidR="00B26C16" w:rsidRPr="00B26C16" w:rsidRDefault="00B26C16" w:rsidP="00B26C16">
      <w:pPr>
        <w:pStyle w:val="C1PlainText"/>
        <w:rPr>
          <w:rFonts w:ascii="Arial" w:hAnsi="Arial" w:cs="Arial"/>
          <w:sz w:val="22"/>
          <w:szCs w:val="22"/>
        </w:rPr>
      </w:pPr>
    </w:p>
    <w:p w:rsidR="002D42BF" w:rsidRPr="00B26C16" w:rsidRDefault="00B26C16" w:rsidP="00B26C16">
      <w:pPr>
        <w:pStyle w:val="C1PlainText"/>
        <w:spacing w:before="0" w:after="0"/>
        <w:ind w:left="0"/>
        <w:rPr>
          <w:rFonts w:ascii="Arial" w:hAnsi="Arial" w:cs="Arial"/>
          <w:sz w:val="22"/>
          <w:szCs w:val="22"/>
        </w:rPr>
      </w:pPr>
      <w:r w:rsidRPr="00B26C16">
        <w:rPr>
          <w:rFonts w:ascii="Arial" w:hAnsi="Arial" w:cs="Arial"/>
          <w:sz w:val="22"/>
          <w:szCs w:val="22"/>
        </w:rPr>
        <w:t xml:space="preserve">The classification of DOTE as toxic to reproduction Cat. 1B based on Regulation 944/2013/EU Art. </w:t>
      </w:r>
      <w:proofErr w:type="gramStart"/>
      <w:r w:rsidRPr="00B26C16">
        <w:rPr>
          <w:rFonts w:ascii="Arial" w:hAnsi="Arial" w:cs="Arial"/>
          <w:sz w:val="22"/>
          <w:szCs w:val="22"/>
        </w:rPr>
        <w:t>3 (3) only takes effect as of 1 January 2015.</w:t>
      </w:r>
      <w:proofErr w:type="gramEnd"/>
      <w:r w:rsidRPr="00B26C16">
        <w:rPr>
          <w:rFonts w:ascii="Arial" w:hAnsi="Arial" w:cs="Arial"/>
          <w:sz w:val="22"/>
          <w:szCs w:val="22"/>
        </w:rPr>
        <w:t xml:space="preserve"> Therefore, the classification as toxic to reproduction Cat. 1B cannot be justified without any assessment only with a simple reference to a regulation applicable in the future. The intrinsic property of DOTE as toxic to reproduction Cat. 1B is not substantiated in the dossier and can therefore not be explicitly attacked within the scope of the consultation procedure.</w:t>
      </w:r>
    </w:p>
    <w:p w:rsidR="00B26C16" w:rsidRDefault="00B26C16" w:rsidP="002D42BF">
      <w:pPr>
        <w:pStyle w:val="C1PlainText"/>
        <w:spacing w:before="0" w:after="0"/>
        <w:ind w:left="0"/>
        <w:rPr>
          <w:rFonts w:ascii="Arial" w:hAnsi="Arial" w:cs="Arial"/>
          <w:sz w:val="22"/>
          <w:szCs w:val="22"/>
        </w:rPr>
      </w:pPr>
    </w:p>
    <w:p w:rsidR="00B26C16" w:rsidRPr="002D42BF" w:rsidRDefault="00B26C16" w:rsidP="002D42BF">
      <w:pPr>
        <w:pStyle w:val="C1PlainText"/>
        <w:spacing w:before="0" w:after="0"/>
        <w:ind w:left="0"/>
        <w:rPr>
          <w:rFonts w:ascii="Arial" w:hAnsi="Arial" w:cs="Arial"/>
          <w:sz w:val="22"/>
          <w:szCs w:val="22"/>
        </w:rPr>
      </w:pPr>
    </w:p>
    <w:p w:rsidR="002D42BF" w:rsidRPr="002D42BF" w:rsidRDefault="0080222D" w:rsidP="002D42BF">
      <w:pPr>
        <w:pStyle w:val="berschrift2"/>
        <w:numPr>
          <w:ilvl w:val="0"/>
          <w:numId w:val="0"/>
        </w:numPr>
        <w:spacing w:before="0"/>
        <w:jc w:val="both"/>
        <w:rPr>
          <w:rFonts w:ascii="Arial" w:hAnsi="Arial" w:cs="Arial"/>
          <w:color w:val="auto"/>
          <w:sz w:val="22"/>
          <w:szCs w:val="22"/>
        </w:rPr>
      </w:pPr>
      <w:r w:rsidRPr="00AF491F">
        <w:rPr>
          <w:rFonts w:ascii="Arial" w:hAnsi="Arial" w:cs="Arial"/>
          <w:color w:val="FF0000"/>
          <w:sz w:val="22"/>
          <w:szCs w:val="22"/>
        </w:rPr>
        <w:t>Page 1</w:t>
      </w:r>
      <w:r w:rsidR="00AF3F57">
        <w:rPr>
          <w:rFonts w:ascii="Arial" w:hAnsi="Arial" w:cs="Arial"/>
          <w:color w:val="FF0000"/>
          <w:sz w:val="22"/>
          <w:szCs w:val="22"/>
        </w:rPr>
        <w:t>5</w:t>
      </w:r>
      <w:r w:rsidRPr="00AF491F">
        <w:rPr>
          <w:rFonts w:ascii="Arial" w:hAnsi="Arial" w:cs="Arial"/>
          <w:color w:val="FF0000"/>
          <w:sz w:val="22"/>
          <w:szCs w:val="22"/>
        </w:rPr>
        <w:t>:</w:t>
      </w:r>
      <w:r>
        <w:rPr>
          <w:rFonts w:ascii="Arial" w:hAnsi="Arial" w:cs="Arial"/>
          <w:color w:val="auto"/>
          <w:sz w:val="22"/>
          <w:szCs w:val="22"/>
        </w:rPr>
        <w:t xml:space="preserve"> </w:t>
      </w:r>
      <w:r w:rsidR="002D42BF" w:rsidRPr="002D42BF">
        <w:rPr>
          <w:rFonts w:ascii="Arial" w:hAnsi="Arial" w:cs="Arial"/>
          <w:color w:val="auto"/>
          <w:sz w:val="22"/>
          <w:szCs w:val="22"/>
        </w:rPr>
        <w:t>Comments on the Wide Dispersive Uses:</w:t>
      </w:r>
      <w:r>
        <w:rPr>
          <w:rFonts w:ascii="Arial" w:hAnsi="Arial" w:cs="Arial"/>
          <w:color w:val="auto"/>
          <w:sz w:val="22"/>
          <w:szCs w:val="22"/>
        </w:rPr>
        <w:t xml:space="preserve"> </w:t>
      </w:r>
    </w:p>
    <w:p w:rsidR="00DB1020" w:rsidRPr="00DB1020" w:rsidRDefault="00DB1020" w:rsidP="00DB1020">
      <w:pPr>
        <w:jc w:val="both"/>
        <w:rPr>
          <w:rFonts w:cs="Arial"/>
          <w:sz w:val="22"/>
          <w:szCs w:val="22"/>
          <w:lang w:val="en-US"/>
        </w:rPr>
      </w:pPr>
      <w:r w:rsidRPr="00DB1020">
        <w:rPr>
          <w:rFonts w:cs="Arial"/>
          <w:sz w:val="22"/>
          <w:szCs w:val="22"/>
          <w:lang w:val="en-US"/>
        </w:rPr>
        <w:t>As downstream users of the reaction mass of DOTE and MOTE (</w:t>
      </w:r>
      <w:r>
        <w:rPr>
          <w:rFonts w:cs="Arial"/>
          <w:sz w:val="22"/>
          <w:szCs w:val="22"/>
          <w:lang w:val="en-US"/>
        </w:rPr>
        <w:t>RMDM</w:t>
      </w:r>
      <w:r w:rsidRPr="00DB1020">
        <w:rPr>
          <w:rFonts w:cs="Arial"/>
          <w:sz w:val="22"/>
          <w:szCs w:val="22"/>
          <w:lang w:val="en-US"/>
        </w:rPr>
        <w:t xml:space="preserve">), we confirm that we use </w:t>
      </w:r>
      <w:r>
        <w:rPr>
          <w:rFonts w:cs="Arial"/>
          <w:sz w:val="22"/>
          <w:szCs w:val="22"/>
          <w:lang w:val="en-US"/>
        </w:rPr>
        <w:t>RMDM</w:t>
      </w:r>
      <w:r w:rsidRPr="00DB1020">
        <w:rPr>
          <w:rFonts w:cs="Arial"/>
          <w:sz w:val="22"/>
          <w:szCs w:val="22"/>
          <w:lang w:val="en-US"/>
        </w:rPr>
        <w:t xml:space="preserve"> in an industrial setting only. We are not aware of any use of </w:t>
      </w:r>
      <w:r>
        <w:rPr>
          <w:rFonts w:cs="Arial"/>
          <w:sz w:val="22"/>
          <w:szCs w:val="22"/>
          <w:lang w:val="en-US"/>
        </w:rPr>
        <w:t>RMDM</w:t>
      </w:r>
      <w:r w:rsidRPr="00DB1020">
        <w:rPr>
          <w:rFonts w:cs="Arial"/>
          <w:sz w:val="22"/>
          <w:szCs w:val="22"/>
          <w:lang w:val="en-US"/>
        </w:rPr>
        <w:t xml:space="preserve"> outside an industrial setting by professionals or consumers. </w:t>
      </w:r>
    </w:p>
    <w:p w:rsidR="00DB1020" w:rsidRPr="00DB1020" w:rsidRDefault="00DB1020" w:rsidP="00DB1020">
      <w:pPr>
        <w:jc w:val="both"/>
        <w:rPr>
          <w:rFonts w:cs="Arial"/>
          <w:sz w:val="22"/>
          <w:szCs w:val="22"/>
          <w:lang w:val="en-US"/>
        </w:rPr>
      </w:pPr>
    </w:p>
    <w:p w:rsidR="00DB1020" w:rsidRPr="00DB1020" w:rsidRDefault="00DB1020" w:rsidP="00DB1020">
      <w:pPr>
        <w:jc w:val="both"/>
        <w:rPr>
          <w:rFonts w:cs="Arial"/>
          <w:sz w:val="22"/>
          <w:szCs w:val="22"/>
          <w:lang w:val="en-US"/>
        </w:rPr>
      </w:pPr>
      <w:r w:rsidRPr="00DB1020">
        <w:rPr>
          <w:rFonts w:cs="Arial"/>
          <w:sz w:val="22"/>
          <w:szCs w:val="22"/>
          <w:lang w:val="en-US"/>
        </w:rPr>
        <w:t xml:space="preserve">We confirm that our products fulfill the article definition under REACH. Any </w:t>
      </w:r>
      <w:proofErr w:type="gramStart"/>
      <w:r w:rsidRPr="00DB1020">
        <w:rPr>
          <w:rFonts w:cs="Arial"/>
          <w:sz w:val="22"/>
          <w:szCs w:val="22"/>
          <w:lang w:val="en-US"/>
        </w:rPr>
        <w:t>use of our products are</w:t>
      </w:r>
      <w:proofErr w:type="gramEnd"/>
      <w:r w:rsidRPr="00DB1020">
        <w:rPr>
          <w:rFonts w:cs="Arial"/>
          <w:sz w:val="22"/>
          <w:szCs w:val="22"/>
          <w:lang w:val="en-US"/>
        </w:rPr>
        <w:t xml:space="preserve"> part of the article life. </w:t>
      </w:r>
    </w:p>
    <w:p w:rsidR="002D42BF" w:rsidRDefault="002D42BF" w:rsidP="002D42BF">
      <w:pPr>
        <w:jc w:val="both"/>
        <w:rPr>
          <w:rFonts w:cs="Arial"/>
          <w:sz w:val="22"/>
          <w:szCs w:val="22"/>
          <w:lang w:val="en-US"/>
        </w:rPr>
      </w:pPr>
    </w:p>
    <w:p w:rsidR="00E108C4" w:rsidRDefault="00E108C4" w:rsidP="002D42BF">
      <w:pPr>
        <w:jc w:val="both"/>
        <w:rPr>
          <w:rFonts w:cs="Arial"/>
          <w:sz w:val="22"/>
          <w:szCs w:val="22"/>
          <w:lang w:val="en-US"/>
        </w:rPr>
      </w:pPr>
    </w:p>
    <w:p w:rsidR="009511E1" w:rsidRPr="009511E1" w:rsidRDefault="009511E1" w:rsidP="009511E1">
      <w:pPr>
        <w:jc w:val="both"/>
        <w:rPr>
          <w:rFonts w:cs="Arial"/>
          <w:b/>
          <w:bCs/>
          <w:sz w:val="22"/>
          <w:szCs w:val="22"/>
          <w:lang w:val="en-GB"/>
        </w:rPr>
      </w:pPr>
      <w:r w:rsidRPr="00AF491F">
        <w:rPr>
          <w:rFonts w:cs="Arial"/>
          <w:b/>
          <w:bCs/>
          <w:color w:val="FF0000"/>
          <w:sz w:val="22"/>
          <w:szCs w:val="22"/>
          <w:lang w:val="en-GB"/>
        </w:rPr>
        <w:t>Page 1</w:t>
      </w:r>
      <w:r w:rsidR="00AF3F57">
        <w:rPr>
          <w:rFonts w:cs="Arial"/>
          <w:b/>
          <w:bCs/>
          <w:color w:val="FF0000"/>
          <w:sz w:val="22"/>
          <w:szCs w:val="22"/>
          <w:lang w:val="en-GB"/>
        </w:rPr>
        <w:t>7</w:t>
      </w:r>
      <w:r w:rsidRPr="009511E1">
        <w:rPr>
          <w:rFonts w:cs="Arial"/>
          <w:b/>
          <w:bCs/>
          <w:sz w:val="22"/>
          <w:szCs w:val="22"/>
          <w:lang w:val="en-GB"/>
        </w:rPr>
        <w:t xml:space="preserve">: </w:t>
      </w:r>
      <w:r w:rsidR="001B7DEE">
        <w:rPr>
          <w:rFonts w:cs="Arial"/>
          <w:b/>
          <w:bCs/>
          <w:sz w:val="22"/>
          <w:szCs w:val="22"/>
          <w:lang w:val="en-GB"/>
        </w:rPr>
        <w:t>Comments on</w:t>
      </w:r>
      <w:r w:rsidRPr="009511E1">
        <w:rPr>
          <w:rFonts w:cs="Arial"/>
          <w:b/>
          <w:bCs/>
          <w:sz w:val="22"/>
          <w:szCs w:val="22"/>
          <w:lang w:val="en-GB"/>
        </w:rPr>
        <w:t xml:space="preserve"> exemption from authorisation for </w:t>
      </w:r>
      <w:r w:rsidR="00C501B9" w:rsidRPr="00C501B9">
        <w:rPr>
          <w:rFonts w:cs="Arial"/>
          <w:b/>
          <w:bCs/>
          <w:sz w:val="22"/>
          <w:szCs w:val="22"/>
          <w:lang w:val="en-GB"/>
        </w:rPr>
        <w:t>substance reaction mass of DOTE and MOTE</w:t>
      </w:r>
      <w:r w:rsidR="00D614FB">
        <w:rPr>
          <w:rFonts w:cs="Arial"/>
          <w:b/>
          <w:bCs/>
          <w:sz w:val="22"/>
          <w:szCs w:val="22"/>
          <w:lang w:val="en-GB"/>
        </w:rPr>
        <w:t xml:space="preserve"> (RMDM)</w:t>
      </w:r>
    </w:p>
    <w:p w:rsidR="009511E1" w:rsidRPr="009511E1" w:rsidRDefault="009511E1" w:rsidP="009511E1">
      <w:pPr>
        <w:jc w:val="both"/>
        <w:rPr>
          <w:rFonts w:cs="Arial"/>
          <w:b/>
          <w:bCs/>
          <w:sz w:val="22"/>
          <w:szCs w:val="22"/>
          <w:lang w:val="en-GB"/>
        </w:rPr>
      </w:pPr>
    </w:p>
    <w:p w:rsidR="00C501B9" w:rsidRPr="00C501B9" w:rsidRDefault="00C501B9" w:rsidP="00C501B9">
      <w:pPr>
        <w:jc w:val="both"/>
        <w:rPr>
          <w:rFonts w:cs="Arial"/>
          <w:b/>
          <w:bCs/>
          <w:sz w:val="22"/>
          <w:szCs w:val="22"/>
          <w:lang w:val="en-GB"/>
        </w:rPr>
      </w:pPr>
      <w:r w:rsidRPr="00C501B9">
        <w:rPr>
          <w:rFonts w:cs="Arial"/>
          <w:b/>
          <w:bCs/>
          <w:sz w:val="22"/>
          <w:szCs w:val="22"/>
          <w:lang w:val="en-GB"/>
        </w:rPr>
        <w:t xml:space="preserve">Regulatory basis for excluding uses of potential Annex XIV substance </w:t>
      </w:r>
      <w:r w:rsidR="00D614FB">
        <w:rPr>
          <w:rFonts w:cs="Arial"/>
          <w:b/>
          <w:bCs/>
          <w:sz w:val="22"/>
          <w:szCs w:val="22"/>
          <w:lang w:val="en-GB"/>
        </w:rPr>
        <w:t>RMDM</w:t>
      </w:r>
    </w:p>
    <w:p w:rsidR="009511E1" w:rsidRPr="009511E1" w:rsidRDefault="009511E1" w:rsidP="009511E1">
      <w:pPr>
        <w:jc w:val="both"/>
        <w:rPr>
          <w:rFonts w:cs="Arial"/>
          <w:b/>
          <w:sz w:val="22"/>
          <w:szCs w:val="22"/>
          <w:lang w:val="en-GB"/>
        </w:rPr>
      </w:pPr>
      <w:r w:rsidRPr="009511E1">
        <w:rPr>
          <w:rFonts w:cs="Arial"/>
          <w:b/>
          <w:bCs/>
          <w:sz w:val="22"/>
          <w:szCs w:val="22"/>
          <w:lang w:val="en-GB"/>
        </w:rPr>
        <w:t xml:space="preserve"> </w:t>
      </w:r>
    </w:p>
    <w:p w:rsidR="00DB1020" w:rsidRDefault="00C501B9" w:rsidP="009511E1">
      <w:pPr>
        <w:jc w:val="both"/>
        <w:rPr>
          <w:bCs/>
          <w:lang w:val="en-US"/>
        </w:rPr>
      </w:pPr>
      <w:r w:rsidRPr="00C501B9">
        <w:rPr>
          <w:bCs/>
          <w:lang w:val="en-US"/>
        </w:rPr>
        <w:t xml:space="preserve">Regulatory basis for excluding uses of potential Annex XIV </w:t>
      </w:r>
      <w:r w:rsidR="00DB1020">
        <w:rPr>
          <w:bCs/>
          <w:lang w:val="en-US"/>
        </w:rPr>
        <w:t>RMDM:</w:t>
      </w:r>
    </w:p>
    <w:p w:rsidR="009511E1" w:rsidRDefault="00C501B9" w:rsidP="009511E1">
      <w:pPr>
        <w:jc w:val="both"/>
        <w:rPr>
          <w:rFonts w:cs="Arial"/>
          <w:bCs/>
          <w:sz w:val="22"/>
          <w:szCs w:val="22"/>
          <w:lang w:val="en-GB"/>
        </w:rPr>
      </w:pPr>
      <w:r w:rsidRPr="00C501B9">
        <w:rPr>
          <w:bCs/>
          <w:lang w:val="en-US"/>
        </w:rPr>
        <w:t xml:space="preserve">Article 58(2) of REACH for granting an exemption for </w:t>
      </w:r>
      <w:proofErr w:type="spellStart"/>
      <w:r w:rsidRPr="00C501B9">
        <w:rPr>
          <w:bCs/>
          <w:lang w:val="en-US"/>
        </w:rPr>
        <w:t>authorisation</w:t>
      </w:r>
      <w:proofErr w:type="spellEnd"/>
      <w:r w:rsidRPr="00C501B9">
        <w:rPr>
          <w:bCs/>
          <w:lang w:val="en-US"/>
        </w:rPr>
        <w:t xml:space="preserve">, </w:t>
      </w:r>
      <w:r w:rsidRPr="00C501B9">
        <w:rPr>
          <w:lang w:val="en-US"/>
        </w:rPr>
        <w:t xml:space="preserve">Regulation (EC) No 143/2011 amending Annex XIV to REACH, Regulation (EC) No 726/2004 laying down Community procedures for the </w:t>
      </w:r>
      <w:proofErr w:type="spellStart"/>
      <w:r w:rsidRPr="00C501B9">
        <w:rPr>
          <w:lang w:val="en-US"/>
        </w:rPr>
        <w:t>authorisation</w:t>
      </w:r>
      <w:proofErr w:type="spellEnd"/>
      <w:r w:rsidRPr="00C501B9">
        <w:rPr>
          <w:lang w:val="en-US"/>
        </w:rPr>
        <w:t xml:space="preserve"> and supervision of medicinal products for human and veterinary use and establishing a European Medicines Agency, </w:t>
      </w:r>
      <w:r w:rsidRPr="00C501B9">
        <w:rPr>
          <w:bCs/>
          <w:lang w:val="en-US"/>
        </w:rPr>
        <w:t>Directive 2001/83/EC on the community code relating to medicinal products for human use and the convention on the elaboration and use of the European Pharmacopoeia (European Treaty Series 50, European Pharmacopoeia Version 8.0) and the protocol to the elaboration of the European Pharmacopoeia</w:t>
      </w:r>
      <w:r w:rsidR="009511E1" w:rsidRPr="009511E1">
        <w:rPr>
          <w:rFonts w:cs="Arial"/>
          <w:bCs/>
          <w:sz w:val="22"/>
          <w:szCs w:val="22"/>
          <w:lang w:val="en-GB"/>
        </w:rPr>
        <w:t xml:space="preserve">. </w:t>
      </w:r>
    </w:p>
    <w:p w:rsidR="00C501B9" w:rsidRDefault="00C501B9" w:rsidP="009511E1">
      <w:pPr>
        <w:jc w:val="both"/>
        <w:rPr>
          <w:rFonts w:cs="Arial"/>
          <w:bCs/>
          <w:sz w:val="22"/>
          <w:szCs w:val="22"/>
          <w:lang w:val="en-GB"/>
        </w:rPr>
      </w:pPr>
    </w:p>
    <w:p w:rsidR="00C501B9" w:rsidRPr="009511E1" w:rsidRDefault="00C501B9" w:rsidP="009511E1">
      <w:pPr>
        <w:jc w:val="both"/>
        <w:rPr>
          <w:rFonts w:cs="Arial"/>
          <w:sz w:val="22"/>
          <w:szCs w:val="22"/>
          <w:lang w:val="en-GB"/>
        </w:rPr>
      </w:pPr>
    </w:p>
    <w:p w:rsidR="009511E1" w:rsidRDefault="009511E1" w:rsidP="009511E1">
      <w:pPr>
        <w:jc w:val="both"/>
        <w:rPr>
          <w:rFonts w:cs="Arial"/>
          <w:sz w:val="22"/>
          <w:szCs w:val="22"/>
          <w:lang w:val="en-GB"/>
        </w:rPr>
      </w:pPr>
      <w:r w:rsidRPr="009511E1">
        <w:rPr>
          <w:rFonts w:cs="Arial"/>
          <w:sz w:val="22"/>
          <w:szCs w:val="22"/>
          <w:lang w:val="en-GB"/>
        </w:rPr>
        <w:t xml:space="preserve">Pursuant to Articles 2(5) (a) REACH the provisions on authorisation under REACH do not in any event apply to medicinal or veterinary products. Use of RMDM in these products does not need to be exempted from authorisation under Article 58(2) of the REACH Regulation. </w:t>
      </w:r>
    </w:p>
    <w:p w:rsidR="00C501B9" w:rsidRDefault="00C501B9" w:rsidP="009511E1">
      <w:pPr>
        <w:jc w:val="both"/>
        <w:rPr>
          <w:rFonts w:cs="Arial"/>
          <w:sz w:val="22"/>
          <w:szCs w:val="22"/>
          <w:lang w:val="en-GB"/>
        </w:rPr>
      </w:pPr>
    </w:p>
    <w:p w:rsidR="00C501B9" w:rsidRPr="009511E1" w:rsidRDefault="00C501B9" w:rsidP="009511E1">
      <w:pPr>
        <w:jc w:val="both"/>
        <w:rPr>
          <w:rFonts w:cs="Arial"/>
          <w:sz w:val="22"/>
          <w:szCs w:val="22"/>
          <w:lang w:val="en-GB"/>
        </w:rPr>
      </w:pPr>
    </w:p>
    <w:p w:rsidR="00C501B9" w:rsidRDefault="009511E1" w:rsidP="009511E1">
      <w:pPr>
        <w:jc w:val="both"/>
        <w:rPr>
          <w:rFonts w:cs="Arial"/>
          <w:sz w:val="22"/>
          <w:szCs w:val="22"/>
          <w:lang w:val="en-GB"/>
        </w:rPr>
      </w:pPr>
      <w:r w:rsidRPr="009511E1">
        <w:rPr>
          <w:rFonts w:cs="Arial"/>
          <w:sz w:val="22"/>
          <w:szCs w:val="22"/>
          <w:lang w:val="en-GB"/>
        </w:rPr>
        <w:t xml:space="preserve">Pursuant to Article 58 (2) REACH the uses or categories of uses may be exempted from the authorisation requirement provided that, on the basis of the existing specific Community legislation imposing minimum requirements relating to the protection of human health or the environment for the use of the substance, the risk is properly controlled. </w:t>
      </w:r>
    </w:p>
    <w:p w:rsidR="00C501B9" w:rsidRDefault="00C501B9" w:rsidP="009511E1">
      <w:pPr>
        <w:jc w:val="both"/>
        <w:rPr>
          <w:rFonts w:cs="Arial"/>
          <w:sz w:val="22"/>
          <w:szCs w:val="22"/>
          <w:lang w:val="en-GB"/>
        </w:rPr>
      </w:pPr>
    </w:p>
    <w:p w:rsidR="00C501B9" w:rsidRDefault="00C501B9" w:rsidP="009511E1">
      <w:pPr>
        <w:jc w:val="both"/>
        <w:rPr>
          <w:rFonts w:cs="Arial"/>
          <w:sz w:val="22"/>
          <w:szCs w:val="22"/>
          <w:lang w:val="en-GB"/>
        </w:rPr>
      </w:pPr>
    </w:p>
    <w:p w:rsidR="00C501B9" w:rsidRDefault="00C501B9" w:rsidP="009511E1">
      <w:pPr>
        <w:jc w:val="both"/>
        <w:rPr>
          <w:rFonts w:cs="Arial"/>
          <w:sz w:val="22"/>
          <w:szCs w:val="22"/>
          <w:lang w:val="en-GB"/>
        </w:rPr>
      </w:pPr>
    </w:p>
    <w:p w:rsidR="00C501B9" w:rsidRDefault="00C501B9" w:rsidP="009511E1">
      <w:pPr>
        <w:jc w:val="both"/>
        <w:rPr>
          <w:rFonts w:cs="Arial"/>
          <w:sz w:val="22"/>
          <w:szCs w:val="22"/>
          <w:lang w:val="en-GB"/>
        </w:rPr>
      </w:pPr>
    </w:p>
    <w:p w:rsidR="00C501B9" w:rsidRDefault="00C501B9" w:rsidP="009511E1">
      <w:pPr>
        <w:jc w:val="both"/>
        <w:rPr>
          <w:rFonts w:cs="Arial"/>
          <w:sz w:val="22"/>
          <w:szCs w:val="22"/>
          <w:lang w:val="en-GB"/>
        </w:rPr>
      </w:pPr>
    </w:p>
    <w:p w:rsidR="00C501B9" w:rsidRDefault="00C501B9" w:rsidP="00C501B9">
      <w:pPr>
        <w:jc w:val="center"/>
        <w:rPr>
          <w:rFonts w:cs="Arial"/>
          <w:sz w:val="22"/>
          <w:szCs w:val="22"/>
          <w:lang w:val="en-US"/>
        </w:rPr>
      </w:pPr>
      <w:r>
        <w:rPr>
          <w:rFonts w:cs="Arial"/>
          <w:sz w:val="22"/>
          <w:szCs w:val="22"/>
          <w:lang w:val="en-US"/>
        </w:rPr>
        <w:t>- 3 -</w:t>
      </w:r>
    </w:p>
    <w:p w:rsidR="00C501B9" w:rsidRDefault="00C501B9" w:rsidP="009511E1">
      <w:pPr>
        <w:jc w:val="both"/>
        <w:rPr>
          <w:rFonts w:cs="Arial"/>
          <w:sz w:val="22"/>
          <w:szCs w:val="22"/>
          <w:lang w:val="en-GB"/>
        </w:rPr>
      </w:pPr>
    </w:p>
    <w:p w:rsidR="00C501B9" w:rsidRDefault="00C501B9" w:rsidP="009511E1">
      <w:pPr>
        <w:jc w:val="both"/>
        <w:rPr>
          <w:rFonts w:cs="Arial"/>
          <w:sz w:val="22"/>
          <w:szCs w:val="22"/>
          <w:lang w:val="en-GB"/>
        </w:rPr>
      </w:pPr>
    </w:p>
    <w:p w:rsidR="00C501B9" w:rsidRDefault="00C501B9" w:rsidP="009511E1">
      <w:pPr>
        <w:jc w:val="both"/>
        <w:rPr>
          <w:rFonts w:cs="Arial"/>
          <w:sz w:val="22"/>
          <w:szCs w:val="22"/>
          <w:lang w:val="en-GB"/>
        </w:rPr>
      </w:pPr>
    </w:p>
    <w:p w:rsidR="00C501B9" w:rsidRDefault="00C501B9" w:rsidP="009511E1">
      <w:pPr>
        <w:jc w:val="both"/>
        <w:rPr>
          <w:rFonts w:cs="Arial"/>
          <w:sz w:val="22"/>
          <w:szCs w:val="22"/>
          <w:lang w:val="en-GB"/>
        </w:rPr>
      </w:pPr>
    </w:p>
    <w:p w:rsidR="009511E1" w:rsidRPr="009511E1" w:rsidRDefault="009511E1" w:rsidP="009511E1">
      <w:pPr>
        <w:jc w:val="both"/>
        <w:rPr>
          <w:rFonts w:cs="Arial"/>
          <w:sz w:val="22"/>
          <w:szCs w:val="22"/>
          <w:lang w:val="en-GB"/>
        </w:rPr>
      </w:pPr>
      <w:r w:rsidRPr="009511E1">
        <w:rPr>
          <w:rFonts w:cs="Arial"/>
          <w:sz w:val="22"/>
          <w:szCs w:val="22"/>
          <w:lang w:val="en-GB"/>
        </w:rPr>
        <w:t>In the establishment of such exemptions, account shall be taken, in particular, of the proportionality of risk to human health and the environment related to the nature of the substance, such as where the risk is modified by the physical form.</w:t>
      </w:r>
    </w:p>
    <w:p w:rsidR="009511E1" w:rsidRPr="009511E1" w:rsidRDefault="009511E1" w:rsidP="009511E1">
      <w:pPr>
        <w:jc w:val="both"/>
        <w:rPr>
          <w:rFonts w:cs="Arial"/>
          <w:sz w:val="22"/>
          <w:szCs w:val="22"/>
          <w:lang w:val="en-GB"/>
        </w:rPr>
      </w:pPr>
    </w:p>
    <w:p w:rsidR="009511E1" w:rsidRPr="009511E1" w:rsidRDefault="009511E1" w:rsidP="009511E1">
      <w:pPr>
        <w:jc w:val="both"/>
        <w:rPr>
          <w:rFonts w:cs="Arial"/>
          <w:b/>
          <w:sz w:val="22"/>
          <w:szCs w:val="22"/>
          <w:lang w:val="en-GB"/>
        </w:rPr>
      </w:pPr>
      <w:r w:rsidRPr="009511E1">
        <w:rPr>
          <w:rFonts w:cs="Arial"/>
          <w:b/>
          <w:sz w:val="22"/>
          <w:szCs w:val="22"/>
          <w:lang w:val="en-GB"/>
        </w:rPr>
        <w:t xml:space="preserve">The exemption from authorisation for </w:t>
      </w:r>
      <w:r w:rsidR="00C501B9">
        <w:rPr>
          <w:rFonts w:cs="Arial"/>
          <w:b/>
          <w:sz w:val="22"/>
          <w:szCs w:val="22"/>
          <w:lang w:val="en-GB"/>
        </w:rPr>
        <w:t>RMDM</w:t>
      </w:r>
      <w:r w:rsidRPr="009511E1">
        <w:rPr>
          <w:rFonts w:cs="Arial"/>
          <w:b/>
          <w:sz w:val="22"/>
          <w:szCs w:val="22"/>
          <w:lang w:val="en-GB"/>
        </w:rPr>
        <w:t xml:space="preserve"> similar to DEHP</w:t>
      </w:r>
    </w:p>
    <w:p w:rsidR="00AF491F" w:rsidRDefault="009511E1" w:rsidP="009511E1">
      <w:pPr>
        <w:jc w:val="both"/>
        <w:rPr>
          <w:rFonts w:cs="Arial"/>
          <w:sz w:val="22"/>
          <w:szCs w:val="22"/>
          <w:lang w:val="en-GB"/>
        </w:rPr>
      </w:pPr>
      <w:r w:rsidRPr="009511E1">
        <w:rPr>
          <w:rFonts w:cs="Arial"/>
          <w:sz w:val="22"/>
          <w:szCs w:val="22"/>
          <w:lang w:val="en-GB"/>
        </w:rPr>
        <w:t xml:space="preserve">The exemption from authorisation for </w:t>
      </w:r>
      <w:r w:rsidR="00C501B9">
        <w:rPr>
          <w:rFonts w:cs="Arial"/>
          <w:sz w:val="22"/>
          <w:szCs w:val="22"/>
          <w:lang w:val="en-GB"/>
        </w:rPr>
        <w:t>RMDM</w:t>
      </w:r>
      <w:r w:rsidRPr="009511E1">
        <w:rPr>
          <w:rFonts w:cs="Arial"/>
          <w:sz w:val="22"/>
          <w:szCs w:val="22"/>
          <w:lang w:val="en-GB"/>
        </w:rPr>
        <w:t xml:space="preserve"> is similar to the exemption of DEHP, BBP and DBP in immediate packaging of medicinal products covered under Regulation (EC) No 726/2004, Regulation 143/2011 and Directive 2001/83/EC. Regulation 143/2011 amends Annex XIV REACH: </w:t>
      </w:r>
    </w:p>
    <w:p w:rsidR="00AF491F" w:rsidRDefault="00AF491F" w:rsidP="009511E1">
      <w:pPr>
        <w:jc w:val="both"/>
        <w:rPr>
          <w:rFonts w:cs="Arial"/>
          <w:sz w:val="22"/>
          <w:szCs w:val="22"/>
          <w:lang w:val="en-GB"/>
        </w:rPr>
      </w:pPr>
    </w:p>
    <w:p w:rsidR="00AF491F" w:rsidRDefault="00AF491F" w:rsidP="009511E1">
      <w:pPr>
        <w:jc w:val="both"/>
        <w:rPr>
          <w:rFonts w:cs="Arial"/>
          <w:sz w:val="22"/>
          <w:szCs w:val="22"/>
          <w:lang w:val="en-GB"/>
        </w:rPr>
      </w:pPr>
    </w:p>
    <w:p w:rsidR="009511E1" w:rsidRDefault="009511E1" w:rsidP="009511E1">
      <w:pPr>
        <w:jc w:val="both"/>
        <w:rPr>
          <w:rFonts w:cs="Arial"/>
          <w:sz w:val="22"/>
          <w:szCs w:val="22"/>
          <w:lang w:val="en-GB"/>
        </w:rPr>
      </w:pPr>
      <w:r w:rsidRPr="009511E1">
        <w:rPr>
          <w:rFonts w:cs="Arial"/>
          <w:sz w:val="22"/>
          <w:szCs w:val="22"/>
          <w:lang w:val="en-GB"/>
        </w:rPr>
        <w:t xml:space="preserve">Pursuant to the preamble 17 of Regulation 143/2011 DEHP, BBP, and DBP can be used in the immediate packaging of medicinal products according to Regulation (EC) No 726/2004 and Directive 2001/83/EC. The safety of immediate packaging of medicinal products which include additives like DEHP or </w:t>
      </w:r>
      <w:r w:rsidR="00C501B9">
        <w:rPr>
          <w:rFonts w:cs="Arial"/>
          <w:sz w:val="22"/>
          <w:szCs w:val="22"/>
          <w:lang w:val="en-GB"/>
        </w:rPr>
        <w:t>RMDM</w:t>
      </w:r>
      <w:r w:rsidRPr="009511E1">
        <w:rPr>
          <w:rFonts w:cs="Arial"/>
          <w:sz w:val="22"/>
          <w:szCs w:val="22"/>
          <w:lang w:val="en-GB"/>
        </w:rPr>
        <w:t xml:space="preserve"> has to be controlled for quality, stability, and safety. Therefore, risk to human health and the environment of </w:t>
      </w:r>
      <w:r w:rsidR="00C501B9">
        <w:rPr>
          <w:rFonts w:cs="Arial"/>
          <w:sz w:val="22"/>
          <w:szCs w:val="22"/>
          <w:lang w:val="en-GB"/>
        </w:rPr>
        <w:t>RMDM</w:t>
      </w:r>
      <w:r w:rsidRPr="009511E1">
        <w:rPr>
          <w:rFonts w:cs="Arial"/>
          <w:sz w:val="22"/>
          <w:szCs w:val="22"/>
          <w:lang w:val="en-GB"/>
        </w:rPr>
        <w:t xml:space="preserve"> is covered by Regulation (EC) No 726/2004 and Directive 2001/83/EC and </w:t>
      </w:r>
      <w:r w:rsidR="00C501B9">
        <w:rPr>
          <w:rFonts w:cs="Arial"/>
          <w:sz w:val="22"/>
          <w:szCs w:val="22"/>
          <w:lang w:val="en-GB"/>
        </w:rPr>
        <w:t>the use of RMDM</w:t>
      </w:r>
      <w:r w:rsidRPr="009511E1">
        <w:rPr>
          <w:rFonts w:cs="Arial"/>
          <w:sz w:val="22"/>
          <w:szCs w:val="22"/>
          <w:lang w:val="en-GB"/>
        </w:rPr>
        <w:t xml:space="preserve"> for immediate packaging of medicinal products should be exempted from authorisation (Art. 58 (2) REACH). </w:t>
      </w:r>
    </w:p>
    <w:p w:rsidR="00AF491F" w:rsidRDefault="00AF491F" w:rsidP="009511E1">
      <w:pPr>
        <w:jc w:val="both"/>
        <w:rPr>
          <w:rFonts w:cs="Arial"/>
          <w:sz w:val="22"/>
          <w:szCs w:val="22"/>
          <w:lang w:val="en-GB"/>
        </w:rPr>
      </w:pPr>
    </w:p>
    <w:p w:rsidR="00AF491F" w:rsidRDefault="00AF491F" w:rsidP="009511E1">
      <w:pPr>
        <w:jc w:val="both"/>
        <w:rPr>
          <w:rFonts w:cs="Arial"/>
          <w:sz w:val="22"/>
          <w:szCs w:val="22"/>
          <w:lang w:val="en-GB"/>
        </w:rPr>
      </w:pPr>
    </w:p>
    <w:p w:rsidR="009511E1" w:rsidRPr="009511E1" w:rsidRDefault="009511E1" w:rsidP="009511E1">
      <w:pPr>
        <w:jc w:val="both"/>
        <w:rPr>
          <w:rFonts w:cs="Arial"/>
          <w:b/>
          <w:sz w:val="22"/>
          <w:szCs w:val="22"/>
          <w:lang w:val="en-GB"/>
        </w:rPr>
      </w:pPr>
    </w:p>
    <w:p w:rsidR="009511E1" w:rsidRPr="009511E1" w:rsidRDefault="009511E1" w:rsidP="009511E1">
      <w:pPr>
        <w:jc w:val="both"/>
        <w:rPr>
          <w:rFonts w:cs="Arial"/>
          <w:b/>
          <w:sz w:val="22"/>
          <w:szCs w:val="22"/>
          <w:lang w:val="en-GB"/>
        </w:rPr>
      </w:pPr>
      <w:r w:rsidRPr="009511E1">
        <w:rPr>
          <w:rFonts w:cs="Arial"/>
          <w:b/>
          <w:sz w:val="22"/>
          <w:szCs w:val="22"/>
          <w:lang w:val="en-GB"/>
        </w:rPr>
        <w:t xml:space="preserve">Safety of the immediate packaging which can include </w:t>
      </w:r>
      <w:r w:rsidR="00C501B9" w:rsidRPr="00C501B9">
        <w:rPr>
          <w:rFonts w:cs="Arial"/>
          <w:b/>
          <w:sz w:val="22"/>
          <w:szCs w:val="22"/>
          <w:lang w:val="en-GB"/>
        </w:rPr>
        <w:t>RMDM</w:t>
      </w:r>
    </w:p>
    <w:p w:rsidR="009511E1" w:rsidRPr="009511E1" w:rsidRDefault="009511E1" w:rsidP="009511E1">
      <w:pPr>
        <w:jc w:val="both"/>
        <w:rPr>
          <w:rFonts w:cs="Arial"/>
          <w:sz w:val="22"/>
          <w:szCs w:val="22"/>
          <w:lang w:val="en-GB"/>
        </w:rPr>
      </w:pPr>
      <w:r w:rsidRPr="009511E1">
        <w:rPr>
          <w:rFonts w:cs="Arial"/>
          <w:sz w:val="22"/>
          <w:szCs w:val="22"/>
          <w:lang w:val="en-GB"/>
        </w:rPr>
        <w:t xml:space="preserve">Aspects of safety of the immediate packaging of medicines are covered by Directive 2001/83/EC and Regulation (EC) No 726/2004. The legislation of the Union provides for a framework to properly control risks of such immediate packaging materials by imposing requirements on the quality, stability, and safety of the immediate packaging materials. Immediate </w:t>
      </w:r>
      <w:proofErr w:type="spellStart"/>
      <w:r w:rsidRPr="009511E1">
        <w:rPr>
          <w:rFonts w:cs="Arial"/>
          <w:sz w:val="22"/>
          <w:szCs w:val="22"/>
          <w:lang w:val="en-GB"/>
        </w:rPr>
        <w:t>packagings</w:t>
      </w:r>
      <w:proofErr w:type="spellEnd"/>
      <w:r w:rsidRPr="009511E1">
        <w:rPr>
          <w:rFonts w:cs="Arial"/>
          <w:sz w:val="22"/>
          <w:szCs w:val="22"/>
          <w:lang w:val="en-GB"/>
        </w:rPr>
        <w:t xml:space="preserve"> have to be authorised with medicinal products. For authorisation of immediate packaging with medicinal products the stability, quality and safety of packaging must be controlled. For instance, it must be controlled if chemicals like </w:t>
      </w:r>
      <w:r w:rsidR="00C501B9">
        <w:rPr>
          <w:rFonts w:cs="Arial"/>
          <w:sz w:val="22"/>
          <w:szCs w:val="22"/>
          <w:lang w:val="en-GB"/>
        </w:rPr>
        <w:t>RMDM</w:t>
      </w:r>
      <w:r w:rsidRPr="009511E1">
        <w:rPr>
          <w:rFonts w:cs="Arial"/>
          <w:sz w:val="22"/>
          <w:szCs w:val="22"/>
          <w:lang w:val="en-GB"/>
        </w:rPr>
        <w:t xml:space="preserve"> can migrate from the package into the medicinal product and would change the quality and safety of the medicine. DOTE is listed in the European Pharmacopoeia and can be used as stabiliser immediate </w:t>
      </w:r>
      <w:proofErr w:type="spellStart"/>
      <w:r w:rsidRPr="009511E1">
        <w:rPr>
          <w:rFonts w:cs="Arial"/>
          <w:sz w:val="22"/>
          <w:szCs w:val="22"/>
          <w:lang w:val="en-GB"/>
        </w:rPr>
        <w:t>packagings</w:t>
      </w:r>
      <w:proofErr w:type="spellEnd"/>
      <w:r w:rsidRPr="009511E1">
        <w:rPr>
          <w:rFonts w:cs="Arial"/>
          <w:sz w:val="22"/>
          <w:szCs w:val="22"/>
          <w:lang w:val="en-GB"/>
        </w:rPr>
        <w:t>. If DOTE will migrate from the packaging into the medicinal product and would change the quality, stability and safety this immediate packaging cannot be used for medicinal products.</w:t>
      </w:r>
    </w:p>
    <w:p w:rsidR="009511E1" w:rsidRPr="009511E1" w:rsidRDefault="009511E1" w:rsidP="009511E1">
      <w:pPr>
        <w:jc w:val="both"/>
        <w:rPr>
          <w:rFonts w:cs="Arial"/>
          <w:sz w:val="22"/>
          <w:szCs w:val="22"/>
          <w:lang w:val="en-GB"/>
        </w:rPr>
      </w:pPr>
    </w:p>
    <w:p w:rsidR="009511E1" w:rsidRPr="009511E1" w:rsidRDefault="009511E1" w:rsidP="009511E1">
      <w:pPr>
        <w:jc w:val="both"/>
        <w:rPr>
          <w:rFonts w:cs="Arial"/>
          <w:sz w:val="22"/>
          <w:szCs w:val="22"/>
          <w:lang w:val="en-GB"/>
        </w:rPr>
      </w:pPr>
      <w:r w:rsidRPr="009511E1">
        <w:rPr>
          <w:rFonts w:cs="Arial"/>
          <w:sz w:val="22"/>
          <w:szCs w:val="22"/>
          <w:lang w:val="en-GB"/>
        </w:rPr>
        <w:t xml:space="preserve">It is therefore appropriate to exempt the use of </w:t>
      </w:r>
      <w:r w:rsidR="00C501B9">
        <w:rPr>
          <w:rFonts w:cs="Arial"/>
          <w:sz w:val="22"/>
          <w:szCs w:val="22"/>
          <w:lang w:val="en-GB"/>
        </w:rPr>
        <w:t>RMDM</w:t>
      </w:r>
      <w:r w:rsidRPr="009511E1">
        <w:rPr>
          <w:rFonts w:cs="Arial"/>
          <w:sz w:val="22"/>
          <w:szCs w:val="22"/>
          <w:lang w:val="en-GB"/>
        </w:rPr>
        <w:t xml:space="preserve"> in the immediate packaging of medicinal products from authorisation under Art. 58 (2) REACH. The exemption for authorisation of DOTE in immediate packaging of medicinal products is in line with the background document for </w:t>
      </w:r>
      <w:proofErr w:type="spellStart"/>
      <w:proofErr w:type="gramStart"/>
      <w:r w:rsidRPr="009511E1">
        <w:rPr>
          <w:rFonts w:cs="Arial"/>
          <w:sz w:val="22"/>
          <w:szCs w:val="22"/>
          <w:lang w:val="en-GB"/>
        </w:rPr>
        <w:t>bis</w:t>
      </w:r>
      <w:proofErr w:type="spellEnd"/>
      <w:r w:rsidRPr="009511E1">
        <w:rPr>
          <w:rFonts w:cs="Arial"/>
          <w:sz w:val="22"/>
          <w:szCs w:val="22"/>
          <w:lang w:val="en-GB"/>
        </w:rPr>
        <w:t>(</w:t>
      </w:r>
      <w:proofErr w:type="gramEnd"/>
      <w:r w:rsidRPr="009511E1">
        <w:rPr>
          <w:rFonts w:cs="Arial"/>
          <w:sz w:val="22"/>
          <w:szCs w:val="22"/>
          <w:lang w:val="en-GB"/>
        </w:rPr>
        <w:t>2-ethylhexyl)phthalate (DEHP) – document developed in the context of ECHA´s first Recommendation for the inclusion of substances in Annex XIV. In this document the exemption for authorisation is accepted.</w:t>
      </w:r>
    </w:p>
    <w:p w:rsidR="009511E1" w:rsidRPr="009511E1" w:rsidRDefault="009511E1" w:rsidP="009511E1">
      <w:pPr>
        <w:jc w:val="both"/>
        <w:rPr>
          <w:rFonts w:cs="Arial"/>
          <w:sz w:val="22"/>
          <w:szCs w:val="22"/>
          <w:lang w:val="en-GB"/>
        </w:rPr>
      </w:pPr>
    </w:p>
    <w:p w:rsidR="009511E1" w:rsidRPr="009511E1" w:rsidRDefault="009511E1" w:rsidP="009511E1">
      <w:pPr>
        <w:jc w:val="both"/>
        <w:rPr>
          <w:rFonts w:cs="Arial"/>
          <w:b/>
          <w:sz w:val="22"/>
          <w:szCs w:val="22"/>
          <w:lang w:val="en-GB"/>
        </w:rPr>
      </w:pPr>
      <w:r w:rsidRPr="009511E1">
        <w:rPr>
          <w:rFonts w:cs="Arial"/>
          <w:b/>
          <w:sz w:val="22"/>
          <w:szCs w:val="22"/>
          <w:lang w:val="en-GB"/>
        </w:rPr>
        <w:t xml:space="preserve">Pursuant to </w:t>
      </w:r>
      <w:r w:rsidRPr="009511E1">
        <w:rPr>
          <w:rFonts w:cs="Arial"/>
          <w:b/>
          <w:bCs/>
          <w:sz w:val="22"/>
          <w:szCs w:val="22"/>
          <w:lang w:val="en-GB"/>
        </w:rPr>
        <w:t>European Pharmacopoeia DOTE can be used as stabiliser in PVC films</w:t>
      </w:r>
    </w:p>
    <w:p w:rsidR="009511E1" w:rsidRPr="009511E1" w:rsidRDefault="009511E1" w:rsidP="009511E1">
      <w:pPr>
        <w:jc w:val="both"/>
        <w:rPr>
          <w:rFonts w:cs="Arial"/>
          <w:bCs/>
          <w:sz w:val="22"/>
          <w:szCs w:val="22"/>
          <w:lang w:val="en-GB"/>
        </w:rPr>
      </w:pPr>
      <w:r w:rsidRPr="009511E1">
        <w:rPr>
          <w:rFonts w:cs="Arial"/>
          <w:sz w:val="22"/>
          <w:szCs w:val="22"/>
          <w:lang w:val="en-GB"/>
        </w:rPr>
        <w:t xml:space="preserve">In addition, DOTE is included in the </w:t>
      </w:r>
      <w:r w:rsidRPr="009511E1">
        <w:rPr>
          <w:rFonts w:cs="Arial"/>
          <w:bCs/>
          <w:sz w:val="22"/>
          <w:szCs w:val="22"/>
          <w:lang w:val="en-GB"/>
        </w:rPr>
        <w:t xml:space="preserve">European Pharmacopoeia Version 8.0 Chapter 3.1.11. MATERIALS BASED ON NON-PLASTICISED </w:t>
      </w:r>
      <w:proofErr w:type="gramStart"/>
      <w:r w:rsidRPr="009511E1">
        <w:rPr>
          <w:rFonts w:cs="Arial"/>
          <w:bCs/>
          <w:sz w:val="22"/>
          <w:szCs w:val="22"/>
          <w:lang w:val="en-GB"/>
        </w:rPr>
        <w:t>POLY(</w:t>
      </w:r>
      <w:proofErr w:type="gramEnd"/>
      <w:r w:rsidRPr="009511E1">
        <w:rPr>
          <w:rFonts w:cs="Arial"/>
          <w:bCs/>
          <w:sz w:val="22"/>
          <w:szCs w:val="22"/>
          <w:lang w:val="en-GB"/>
        </w:rPr>
        <w:t xml:space="preserve">VINYL CHLORIDE) FOR CONTAINERS FOR DRY DOSAGE FORMS FOR ORAL ADMINISTRATION. </w:t>
      </w:r>
      <w:r w:rsidRPr="009511E1">
        <w:rPr>
          <w:rFonts w:cs="Arial"/>
          <w:sz w:val="22"/>
          <w:szCs w:val="22"/>
          <w:lang w:val="en-GB"/>
        </w:rPr>
        <w:t xml:space="preserve">DOTE is listed in the European Pharmacopoeia and can be used as stabiliser immediate </w:t>
      </w:r>
      <w:proofErr w:type="spellStart"/>
      <w:r w:rsidRPr="009511E1">
        <w:rPr>
          <w:rFonts w:cs="Arial"/>
          <w:sz w:val="22"/>
          <w:szCs w:val="22"/>
          <w:lang w:val="en-GB"/>
        </w:rPr>
        <w:t>packagings</w:t>
      </w:r>
      <w:proofErr w:type="spellEnd"/>
      <w:r w:rsidRPr="009511E1">
        <w:rPr>
          <w:rFonts w:cs="Arial"/>
          <w:sz w:val="22"/>
          <w:szCs w:val="22"/>
          <w:lang w:val="en-GB"/>
        </w:rPr>
        <w:t>.</w:t>
      </w:r>
    </w:p>
    <w:p w:rsidR="009511E1" w:rsidRPr="009511E1" w:rsidRDefault="009511E1" w:rsidP="009511E1">
      <w:pPr>
        <w:jc w:val="both"/>
        <w:rPr>
          <w:rFonts w:cs="Arial"/>
          <w:sz w:val="22"/>
          <w:szCs w:val="22"/>
          <w:lang w:val="en-GB"/>
        </w:rPr>
      </w:pPr>
      <w:r w:rsidRPr="009511E1">
        <w:rPr>
          <w:rFonts w:cs="Arial"/>
          <w:bCs/>
          <w:sz w:val="22"/>
          <w:szCs w:val="22"/>
          <w:lang w:val="en-GB"/>
        </w:rPr>
        <w:t xml:space="preserve">The requirements for plastic materials containing DOTE is covered by European Pharmacopoeia Version 8.0 Chapter 3.1.11. </w:t>
      </w:r>
      <w:proofErr w:type="gramStart"/>
      <w:r w:rsidRPr="009511E1">
        <w:rPr>
          <w:rFonts w:cs="Arial"/>
          <w:bCs/>
          <w:sz w:val="22"/>
          <w:szCs w:val="22"/>
          <w:lang w:val="en-GB"/>
        </w:rPr>
        <w:t>and</w:t>
      </w:r>
      <w:proofErr w:type="gramEnd"/>
      <w:r w:rsidRPr="009511E1">
        <w:rPr>
          <w:rFonts w:cs="Arial"/>
          <w:bCs/>
          <w:sz w:val="22"/>
          <w:szCs w:val="22"/>
          <w:lang w:val="en-GB"/>
        </w:rPr>
        <w:t xml:space="preserve"> the PVC films of our members of </w:t>
      </w:r>
      <w:r w:rsidRPr="009511E1">
        <w:rPr>
          <w:rFonts w:cs="Arial"/>
          <w:sz w:val="22"/>
          <w:szCs w:val="22"/>
          <w:lang w:val="en-GB"/>
        </w:rPr>
        <w:t xml:space="preserve">European Rigid PVC Film Association (ERPA) </w:t>
      </w:r>
      <w:r w:rsidRPr="009511E1">
        <w:rPr>
          <w:rFonts w:cs="Arial"/>
          <w:bCs/>
          <w:sz w:val="22"/>
          <w:szCs w:val="22"/>
          <w:lang w:val="en-GB"/>
        </w:rPr>
        <w:t xml:space="preserve">have to be in compliance with European Pharmacopoeia, </w:t>
      </w:r>
      <w:r w:rsidRPr="009511E1">
        <w:rPr>
          <w:rFonts w:cs="Arial"/>
          <w:sz w:val="22"/>
          <w:szCs w:val="22"/>
          <w:lang w:val="en-GB"/>
        </w:rPr>
        <w:t xml:space="preserve">Regulation (EC) No 726/2004, Directive 2001/82/EC, and/or Directive 2001/83/EC. </w:t>
      </w:r>
    </w:p>
    <w:p w:rsidR="009511E1" w:rsidRPr="009511E1" w:rsidRDefault="009511E1" w:rsidP="009511E1">
      <w:pPr>
        <w:jc w:val="both"/>
        <w:rPr>
          <w:rFonts w:cs="Arial"/>
          <w:sz w:val="22"/>
          <w:szCs w:val="22"/>
          <w:lang w:val="en-GB"/>
        </w:rPr>
      </w:pPr>
    </w:p>
    <w:p w:rsidR="009511E1" w:rsidRPr="009511E1" w:rsidRDefault="009511E1" w:rsidP="002D42BF">
      <w:pPr>
        <w:jc w:val="both"/>
        <w:rPr>
          <w:rFonts w:cs="Arial"/>
          <w:sz w:val="22"/>
          <w:szCs w:val="22"/>
          <w:lang w:val="en-GB"/>
        </w:rPr>
      </w:pPr>
    </w:p>
    <w:p w:rsidR="00E108C4" w:rsidRPr="002D42BF" w:rsidRDefault="00E108C4" w:rsidP="002D42BF">
      <w:pPr>
        <w:jc w:val="both"/>
        <w:rPr>
          <w:rFonts w:cs="Arial"/>
          <w:sz w:val="22"/>
          <w:szCs w:val="22"/>
          <w:lang w:val="en-US"/>
        </w:rPr>
      </w:pPr>
    </w:p>
    <w:p w:rsidR="00C501B9" w:rsidRPr="00C501B9" w:rsidRDefault="00C501B9" w:rsidP="002D42BF">
      <w:pPr>
        <w:pStyle w:val="berschrift2"/>
        <w:numPr>
          <w:ilvl w:val="0"/>
          <w:numId w:val="0"/>
        </w:numPr>
        <w:spacing w:before="0"/>
        <w:jc w:val="both"/>
        <w:rPr>
          <w:rFonts w:ascii="Arial" w:hAnsi="Arial" w:cs="Arial"/>
          <w:b w:val="0"/>
          <w:color w:val="000000" w:themeColor="text1"/>
          <w:sz w:val="22"/>
          <w:szCs w:val="22"/>
        </w:rPr>
      </w:pPr>
    </w:p>
    <w:p w:rsidR="00C501B9" w:rsidRPr="00C501B9" w:rsidRDefault="00C501B9" w:rsidP="002D42BF">
      <w:pPr>
        <w:pStyle w:val="berschrift2"/>
        <w:numPr>
          <w:ilvl w:val="0"/>
          <w:numId w:val="0"/>
        </w:numPr>
        <w:spacing w:before="0"/>
        <w:jc w:val="both"/>
        <w:rPr>
          <w:rFonts w:ascii="Arial" w:hAnsi="Arial" w:cs="Arial"/>
          <w:b w:val="0"/>
          <w:color w:val="000000" w:themeColor="text1"/>
          <w:sz w:val="22"/>
          <w:szCs w:val="22"/>
        </w:rPr>
      </w:pPr>
    </w:p>
    <w:p w:rsidR="00C501B9" w:rsidRDefault="00C501B9" w:rsidP="002D42BF">
      <w:pPr>
        <w:pStyle w:val="berschrift2"/>
        <w:numPr>
          <w:ilvl w:val="0"/>
          <w:numId w:val="0"/>
        </w:numPr>
        <w:spacing w:before="0"/>
        <w:jc w:val="both"/>
        <w:rPr>
          <w:rFonts w:ascii="Arial" w:hAnsi="Arial" w:cs="Arial"/>
          <w:b w:val="0"/>
          <w:color w:val="000000" w:themeColor="text1"/>
          <w:sz w:val="22"/>
          <w:szCs w:val="22"/>
        </w:rPr>
      </w:pPr>
    </w:p>
    <w:p w:rsidR="00C501B9" w:rsidRDefault="00C501B9" w:rsidP="00C501B9">
      <w:pPr>
        <w:jc w:val="center"/>
        <w:rPr>
          <w:rFonts w:cs="Arial"/>
          <w:sz w:val="22"/>
          <w:szCs w:val="22"/>
          <w:lang w:val="en-US"/>
        </w:rPr>
      </w:pPr>
      <w:r>
        <w:rPr>
          <w:rFonts w:cs="Arial"/>
          <w:sz w:val="22"/>
          <w:szCs w:val="22"/>
          <w:lang w:val="en-US"/>
        </w:rPr>
        <w:t>- 4 -</w:t>
      </w:r>
    </w:p>
    <w:p w:rsidR="00C501B9" w:rsidRDefault="00C501B9" w:rsidP="00C501B9">
      <w:pPr>
        <w:pStyle w:val="C1PlainText"/>
      </w:pPr>
    </w:p>
    <w:p w:rsidR="00C501B9" w:rsidRPr="00C501B9" w:rsidRDefault="00C501B9" w:rsidP="00C501B9">
      <w:pPr>
        <w:pStyle w:val="C1PlainText"/>
      </w:pPr>
    </w:p>
    <w:p w:rsidR="002D42BF" w:rsidRPr="002D42BF" w:rsidRDefault="00E108C4" w:rsidP="002D42BF">
      <w:pPr>
        <w:pStyle w:val="berschrift2"/>
        <w:numPr>
          <w:ilvl w:val="0"/>
          <w:numId w:val="0"/>
        </w:numPr>
        <w:spacing w:before="0"/>
        <w:jc w:val="both"/>
        <w:rPr>
          <w:rFonts w:ascii="Arial" w:hAnsi="Arial" w:cs="Arial"/>
          <w:color w:val="auto"/>
          <w:sz w:val="22"/>
          <w:szCs w:val="22"/>
        </w:rPr>
      </w:pPr>
      <w:r w:rsidRPr="00AF491F">
        <w:rPr>
          <w:rFonts w:ascii="Arial" w:hAnsi="Arial" w:cs="Arial"/>
          <w:color w:val="FF0000"/>
          <w:sz w:val="22"/>
          <w:szCs w:val="22"/>
        </w:rPr>
        <w:t xml:space="preserve">Page </w:t>
      </w:r>
      <w:r w:rsidR="00AF3F57">
        <w:rPr>
          <w:rFonts w:ascii="Arial" w:hAnsi="Arial" w:cs="Arial"/>
          <w:color w:val="FF0000"/>
          <w:sz w:val="22"/>
          <w:szCs w:val="22"/>
        </w:rPr>
        <w:t>20</w:t>
      </w:r>
      <w:r>
        <w:rPr>
          <w:rFonts w:ascii="Arial" w:hAnsi="Arial" w:cs="Arial"/>
          <w:color w:val="auto"/>
          <w:sz w:val="22"/>
          <w:szCs w:val="22"/>
        </w:rPr>
        <w:t xml:space="preserve">: </w:t>
      </w:r>
      <w:r w:rsidR="002D42BF" w:rsidRPr="002D42BF">
        <w:rPr>
          <w:rFonts w:ascii="Arial" w:hAnsi="Arial" w:cs="Arial"/>
          <w:color w:val="auto"/>
          <w:sz w:val="22"/>
          <w:szCs w:val="22"/>
        </w:rPr>
        <w:t>Comments on the likelihood of the release during article service life and waste phase:</w:t>
      </w:r>
    </w:p>
    <w:p w:rsidR="00016CBE" w:rsidRPr="00016CBE" w:rsidRDefault="00016CBE" w:rsidP="00016CBE">
      <w:pPr>
        <w:jc w:val="both"/>
        <w:rPr>
          <w:rFonts w:cs="Arial"/>
          <w:sz w:val="22"/>
          <w:szCs w:val="22"/>
          <w:lang w:val="en-US"/>
        </w:rPr>
      </w:pPr>
      <w:r w:rsidRPr="00016CBE">
        <w:rPr>
          <w:rFonts w:cs="Arial"/>
          <w:sz w:val="22"/>
          <w:szCs w:val="22"/>
          <w:lang w:val="en-US"/>
        </w:rPr>
        <w:t xml:space="preserve">We as the downstream users of </w:t>
      </w:r>
      <w:r>
        <w:rPr>
          <w:rFonts w:cs="Arial"/>
          <w:sz w:val="22"/>
          <w:szCs w:val="22"/>
          <w:lang w:val="en-US"/>
        </w:rPr>
        <w:t>RMDM</w:t>
      </w:r>
      <w:r w:rsidRPr="00016CBE">
        <w:rPr>
          <w:rFonts w:cs="Arial"/>
          <w:sz w:val="22"/>
          <w:szCs w:val="22"/>
          <w:lang w:val="en-US"/>
        </w:rPr>
        <w:t xml:space="preserve"> </w:t>
      </w:r>
      <w:proofErr w:type="gramStart"/>
      <w:r w:rsidRPr="00016CBE">
        <w:rPr>
          <w:rFonts w:cs="Arial"/>
          <w:sz w:val="22"/>
          <w:szCs w:val="22"/>
          <w:lang w:val="en-US"/>
        </w:rPr>
        <w:t>agrees</w:t>
      </w:r>
      <w:proofErr w:type="gramEnd"/>
      <w:r w:rsidRPr="00016CBE">
        <w:rPr>
          <w:rFonts w:cs="Arial"/>
          <w:sz w:val="22"/>
          <w:szCs w:val="22"/>
          <w:lang w:val="en-US"/>
        </w:rPr>
        <w:t xml:space="preserve"> with the following statement:</w:t>
      </w:r>
    </w:p>
    <w:p w:rsidR="00016CBE" w:rsidRPr="00016CBE" w:rsidRDefault="00016CBE" w:rsidP="00016CBE">
      <w:pPr>
        <w:jc w:val="both"/>
        <w:rPr>
          <w:rFonts w:cs="Arial"/>
          <w:sz w:val="22"/>
          <w:szCs w:val="22"/>
          <w:lang w:val="en-US"/>
        </w:rPr>
      </w:pPr>
    </w:p>
    <w:p w:rsidR="00016CBE" w:rsidRPr="00016CBE" w:rsidRDefault="00016CBE" w:rsidP="00016CBE">
      <w:pPr>
        <w:jc w:val="both"/>
        <w:rPr>
          <w:rFonts w:cs="Arial"/>
          <w:sz w:val="22"/>
          <w:szCs w:val="22"/>
          <w:lang w:val="en-US"/>
        </w:rPr>
      </w:pPr>
      <w:r w:rsidRPr="00016CBE">
        <w:rPr>
          <w:rFonts w:cs="Arial"/>
          <w:sz w:val="22"/>
          <w:szCs w:val="22"/>
          <w:lang w:val="en-US"/>
        </w:rPr>
        <w:t xml:space="preserve">In order to continue to stabilize the articles throughout its life-cycle stabilizers must not be washed off from the articles.  Therefore those molecules are designed to have inherently low leaching rates and this is the case for </w:t>
      </w:r>
      <w:proofErr w:type="spellStart"/>
      <w:r w:rsidRPr="00016CBE">
        <w:rPr>
          <w:rFonts w:cs="Arial"/>
          <w:sz w:val="22"/>
          <w:szCs w:val="22"/>
          <w:lang w:val="en-US"/>
        </w:rPr>
        <w:t>octyltins</w:t>
      </w:r>
      <w:proofErr w:type="spellEnd"/>
      <w:r w:rsidRPr="00016CBE">
        <w:rPr>
          <w:rFonts w:cs="Arial"/>
          <w:sz w:val="22"/>
          <w:szCs w:val="22"/>
          <w:lang w:val="en-US"/>
        </w:rPr>
        <w:t xml:space="preserve"> which have </w:t>
      </w:r>
      <w:proofErr w:type="gramStart"/>
      <w:r w:rsidRPr="00016CBE">
        <w:rPr>
          <w:rFonts w:cs="Arial"/>
          <w:sz w:val="22"/>
          <w:szCs w:val="22"/>
          <w:lang w:val="en-US"/>
        </w:rPr>
        <w:t>a very</w:t>
      </w:r>
      <w:proofErr w:type="gramEnd"/>
      <w:r w:rsidRPr="00016CBE">
        <w:rPr>
          <w:rFonts w:cs="Arial"/>
          <w:sz w:val="22"/>
          <w:szCs w:val="22"/>
          <w:lang w:val="en-US"/>
        </w:rPr>
        <w:t xml:space="preserve"> low water solubility (high </w:t>
      </w:r>
      <w:proofErr w:type="spellStart"/>
      <w:r w:rsidRPr="00016CBE">
        <w:rPr>
          <w:rFonts w:cs="Arial"/>
          <w:sz w:val="22"/>
          <w:szCs w:val="22"/>
          <w:lang w:val="en-US"/>
        </w:rPr>
        <w:t>Octanol</w:t>
      </w:r>
      <w:proofErr w:type="spellEnd"/>
      <w:r w:rsidRPr="00016CBE">
        <w:rPr>
          <w:rFonts w:cs="Arial"/>
          <w:sz w:val="22"/>
          <w:szCs w:val="22"/>
          <w:lang w:val="en-US"/>
        </w:rPr>
        <w:t xml:space="preserve">/Water partition coefficient).  Moreover, </w:t>
      </w:r>
      <w:r>
        <w:rPr>
          <w:rFonts w:cs="Arial"/>
          <w:sz w:val="22"/>
          <w:szCs w:val="22"/>
          <w:lang w:val="en-US"/>
        </w:rPr>
        <w:t>RMDM</w:t>
      </w:r>
      <w:r w:rsidRPr="00016CBE">
        <w:rPr>
          <w:rFonts w:cs="Arial"/>
          <w:sz w:val="22"/>
          <w:szCs w:val="22"/>
          <w:lang w:val="en-US"/>
        </w:rPr>
        <w:t xml:space="preserve"> are used extensively in rigid PVC films for food-contact and comply with the applicable Specific Migrations Limit of 6 µg/kg food, which confirms the low leaching rate in aqueous media.  </w:t>
      </w:r>
      <w:r w:rsidRPr="00016CBE">
        <w:rPr>
          <w:rFonts w:cs="Arial"/>
          <w:sz w:val="22"/>
          <w:szCs w:val="22"/>
          <w:lang w:val="en-GB"/>
        </w:rPr>
        <w:t xml:space="preserve">For many years in the USA, </w:t>
      </w:r>
      <w:r>
        <w:rPr>
          <w:rFonts w:cs="Arial"/>
          <w:sz w:val="22"/>
          <w:szCs w:val="22"/>
          <w:lang w:val="en-US"/>
        </w:rPr>
        <w:t>RMDM</w:t>
      </w:r>
      <w:r w:rsidRPr="00016CBE">
        <w:rPr>
          <w:rFonts w:cs="Arial"/>
          <w:sz w:val="22"/>
          <w:szCs w:val="22"/>
          <w:lang w:val="en-GB"/>
        </w:rPr>
        <w:t xml:space="preserve"> based stabilizers have complied with the strict guidelines set out by NSF/ ANSI 61 standards for use in drinking water applications</w:t>
      </w:r>
      <w:r w:rsidRPr="00016CBE">
        <w:rPr>
          <w:rFonts w:cs="Arial"/>
          <w:sz w:val="22"/>
          <w:szCs w:val="22"/>
          <w:lang w:val="en-US"/>
        </w:rPr>
        <w:t>.</w:t>
      </w:r>
    </w:p>
    <w:p w:rsidR="00016CBE" w:rsidRPr="00016CBE" w:rsidRDefault="00016CBE" w:rsidP="00016CBE">
      <w:pPr>
        <w:jc w:val="both"/>
        <w:rPr>
          <w:rFonts w:cs="Arial"/>
          <w:sz w:val="22"/>
          <w:szCs w:val="22"/>
          <w:lang w:val="en-US"/>
        </w:rPr>
      </w:pPr>
    </w:p>
    <w:p w:rsidR="00016CBE" w:rsidRPr="00016CBE" w:rsidRDefault="00016CBE" w:rsidP="00016CBE">
      <w:pPr>
        <w:jc w:val="both"/>
        <w:rPr>
          <w:rFonts w:cs="Arial"/>
          <w:sz w:val="22"/>
          <w:szCs w:val="22"/>
          <w:lang w:val="en-US"/>
        </w:rPr>
      </w:pPr>
      <w:r w:rsidRPr="00016CBE">
        <w:rPr>
          <w:rFonts w:cs="Arial"/>
          <w:sz w:val="22"/>
          <w:szCs w:val="22"/>
          <w:lang w:val="en-US"/>
        </w:rPr>
        <w:t>Like all additives, leaching in contact with water is limited to a thin diffusion layer and does almost not affect the bulk of the material.  This has been demonstrated indirectly by measuring the residual concentration of a tin stabilizer throughout the 6 mm wall of a 22-year old water pipe dug out. The depletion of tin was observed in the 1.5 micron boundary layer, representing 0.05 % of the pipe volume, whilst no depletion was observed in the bulk.</w:t>
      </w:r>
    </w:p>
    <w:p w:rsidR="00016CBE" w:rsidRPr="00016CBE" w:rsidRDefault="00016CBE" w:rsidP="00016CBE">
      <w:pPr>
        <w:jc w:val="both"/>
        <w:rPr>
          <w:rFonts w:cs="Arial"/>
          <w:sz w:val="22"/>
          <w:szCs w:val="22"/>
          <w:lang w:val="en-US"/>
        </w:rPr>
      </w:pPr>
    </w:p>
    <w:p w:rsidR="00016CBE" w:rsidRPr="00016CBE" w:rsidRDefault="00016CBE" w:rsidP="00016CBE">
      <w:pPr>
        <w:jc w:val="both"/>
        <w:rPr>
          <w:rFonts w:cs="Arial"/>
          <w:sz w:val="22"/>
          <w:szCs w:val="22"/>
          <w:lang w:val="en-US"/>
        </w:rPr>
      </w:pPr>
      <w:r w:rsidRPr="00016CBE">
        <w:rPr>
          <w:rFonts w:cs="Arial"/>
          <w:sz w:val="22"/>
          <w:szCs w:val="22"/>
          <w:lang w:val="en-US"/>
        </w:rPr>
        <w:t xml:space="preserve">It is therefore the commentator’s conclusion that it is unlikely for the release of </w:t>
      </w:r>
      <w:r>
        <w:rPr>
          <w:rFonts w:cs="Arial"/>
          <w:sz w:val="22"/>
          <w:szCs w:val="22"/>
          <w:lang w:val="en-US"/>
        </w:rPr>
        <w:t>RMDM</w:t>
      </w:r>
      <w:r w:rsidRPr="00016CBE">
        <w:rPr>
          <w:rFonts w:cs="Arial"/>
          <w:sz w:val="22"/>
          <w:szCs w:val="22"/>
          <w:lang w:val="en-US"/>
        </w:rPr>
        <w:t xml:space="preserve"> during the article service life and waste phase.  Additionally after many decades of use in these applications we are not aware of any reported adverse impact on users of articles containing </w:t>
      </w:r>
      <w:r>
        <w:rPr>
          <w:rFonts w:cs="Arial"/>
          <w:sz w:val="22"/>
          <w:szCs w:val="22"/>
          <w:lang w:val="en-US"/>
        </w:rPr>
        <w:t>RMDM</w:t>
      </w:r>
      <w:r w:rsidRPr="00016CBE">
        <w:rPr>
          <w:rFonts w:cs="Arial"/>
          <w:sz w:val="22"/>
          <w:szCs w:val="22"/>
          <w:lang w:val="en-US"/>
        </w:rPr>
        <w:t>.</w:t>
      </w:r>
    </w:p>
    <w:p w:rsidR="001B7DEE" w:rsidRPr="002D42BF" w:rsidRDefault="001B7DEE" w:rsidP="002D42BF">
      <w:pPr>
        <w:jc w:val="both"/>
        <w:rPr>
          <w:rFonts w:cs="Arial"/>
          <w:sz w:val="22"/>
          <w:szCs w:val="22"/>
          <w:lang w:val="en-US"/>
        </w:rPr>
      </w:pPr>
    </w:p>
    <w:p w:rsidR="002D42BF" w:rsidRPr="001B7DEE" w:rsidRDefault="002D42BF" w:rsidP="002D42BF">
      <w:pPr>
        <w:jc w:val="both"/>
        <w:rPr>
          <w:rFonts w:cs="Arial"/>
          <w:color w:val="FF0000"/>
          <w:sz w:val="22"/>
          <w:szCs w:val="22"/>
          <w:lang w:val="en-US"/>
        </w:rPr>
      </w:pPr>
    </w:p>
    <w:p w:rsidR="002D42BF" w:rsidRDefault="00AF3F57" w:rsidP="002D42BF">
      <w:pPr>
        <w:pStyle w:val="berschrift2"/>
        <w:numPr>
          <w:ilvl w:val="0"/>
          <w:numId w:val="0"/>
        </w:numPr>
        <w:spacing w:before="0"/>
        <w:jc w:val="both"/>
        <w:rPr>
          <w:rFonts w:ascii="Arial" w:hAnsi="Arial" w:cs="Arial"/>
          <w:color w:val="auto"/>
          <w:sz w:val="22"/>
          <w:szCs w:val="22"/>
        </w:rPr>
      </w:pPr>
      <w:r>
        <w:rPr>
          <w:rFonts w:ascii="Arial" w:hAnsi="Arial" w:cs="Arial"/>
          <w:color w:val="FF0000"/>
          <w:sz w:val="22"/>
          <w:szCs w:val="22"/>
        </w:rPr>
        <w:t>Page 28</w:t>
      </w:r>
      <w:r w:rsidR="00E108C4" w:rsidRPr="001B7DEE">
        <w:rPr>
          <w:rFonts w:ascii="Arial" w:hAnsi="Arial" w:cs="Arial"/>
          <w:color w:val="FF0000"/>
          <w:sz w:val="22"/>
          <w:szCs w:val="22"/>
        </w:rPr>
        <w:t>:</w:t>
      </w:r>
      <w:r w:rsidR="00E108C4">
        <w:rPr>
          <w:rFonts w:ascii="Arial" w:hAnsi="Arial" w:cs="Arial"/>
          <w:color w:val="auto"/>
          <w:sz w:val="22"/>
          <w:szCs w:val="22"/>
        </w:rPr>
        <w:t xml:space="preserve"> </w:t>
      </w:r>
      <w:r w:rsidR="002D42BF" w:rsidRPr="002D42BF">
        <w:rPr>
          <w:rFonts w:ascii="Arial" w:hAnsi="Arial" w:cs="Arial"/>
          <w:color w:val="auto"/>
          <w:sz w:val="22"/>
          <w:szCs w:val="22"/>
        </w:rPr>
        <w:t>Comments on the Technical Feasi</w:t>
      </w:r>
      <w:r w:rsidR="00C501B9">
        <w:rPr>
          <w:rFonts w:ascii="Arial" w:hAnsi="Arial" w:cs="Arial"/>
          <w:color w:val="auto"/>
          <w:sz w:val="22"/>
          <w:szCs w:val="22"/>
        </w:rPr>
        <w:t>bility of Calcium-based stabilis</w:t>
      </w:r>
      <w:r w:rsidR="002D42BF" w:rsidRPr="002D42BF">
        <w:rPr>
          <w:rFonts w:ascii="Arial" w:hAnsi="Arial" w:cs="Arial"/>
          <w:color w:val="auto"/>
          <w:sz w:val="22"/>
          <w:szCs w:val="22"/>
        </w:rPr>
        <w:t xml:space="preserve">ers as a substitute for </w:t>
      </w:r>
      <w:r w:rsidR="00304144">
        <w:rPr>
          <w:rFonts w:ascii="Arial" w:hAnsi="Arial" w:cs="Arial"/>
          <w:color w:val="auto"/>
          <w:sz w:val="22"/>
          <w:szCs w:val="22"/>
        </w:rPr>
        <w:t>RMDM</w:t>
      </w:r>
      <w:r w:rsidR="002D42BF" w:rsidRPr="002D42BF">
        <w:rPr>
          <w:rFonts w:ascii="Arial" w:hAnsi="Arial" w:cs="Arial"/>
          <w:color w:val="auto"/>
          <w:sz w:val="22"/>
          <w:szCs w:val="22"/>
        </w:rPr>
        <w:t>:</w:t>
      </w:r>
    </w:p>
    <w:p w:rsidR="002D42BF" w:rsidRDefault="002D42BF" w:rsidP="002D42BF">
      <w:pPr>
        <w:jc w:val="both"/>
        <w:rPr>
          <w:rFonts w:cs="Arial"/>
          <w:sz w:val="22"/>
          <w:szCs w:val="22"/>
          <w:lang w:val="en-US"/>
        </w:rPr>
      </w:pPr>
    </w:p>
    <w:p w:rsidR="00304144" w:rsidRPr="00304144" w:rsidRDefault="00304144" w:rsidP="00304144">
      <w:pPr>
        <w:jc w:val="both"/>
        <w:rPr>
          <w:rFonts w:cs="Arial"/>
          <w:sz w:val="22"/>
          <w:szCs w:val="22"/>
          <w:lang w:val="en-US"/>
        </w:rPr>
      </w:pPr>
      <w:r w:rsidRPr="00304144">
        <w:rPr>
          <w:rFonts w:cs="Arial"/>
          <w:sz w:val="22"/>
          <w:szCs w:val="22"/>
          <w:lang w:val="en-US"/>
        </w:rPr>
        <w:t>Section 10.4 of the Annex XV dossier mentions Calcium/Zinc-based stabilizers as a substitute for RM</w:t>
      </w:r>
      <w:r>
        <w:rPr>
          <w:rFonts w:cs="Arial"/>
          <w:sz w:val="22"/>
          <w:szCs w:val="22"/>
          <w:lang w:val="en-US"/>
        </w:rPr>
        <w:t>DM</w:t>
      </w:r>
      <w:r w:rsidRPr="00304144">
        <w:rPr>
          <w:rFonts w:cs="Arial"/>
          <w:sz w:val="22"/>
          <w:szCs w:val="22"/>
          <w:lang w:val="en-US"/>
        </w:rPr>
        <w:t>.  After extensive testing and formulation work, we have not been able to find an adequate technical substitute that is based on Calcium/Zinc to date.</w:t>
      </w:r>
    </w:p>
    <w:p w:rsidR="002D42BF" w:rsidRPr="002D42BF" w:rsidRDefault="002D42BF" w:rsidP="002D42BF">
      <w:pPr>
        <w:jc w:val="both"/>
        <w:rPr>
          <w:rFonts w:cs="Arial"/>
          <w:sz w:val="22"/>
          <w:szCs w:val="22"/>
          <w:lang w:val="en-US"/>
        </w:rPr>
      </w:pPr>
    </w:p>
    <w:p w:rsidR="002D42BF" w:rsidRPr="002D42BF" w:rsidRDefault="002D42BF" w:rsidP="002D42BF">
      <w:pPr>
        <w:jc w:val="both"/>
        <w:rPr>
          <w:rFonts w:cs="Arial"/>
          <w:b/>
          <w:sz w:val="22"/>
          <w:szCs w:val="22"/>
          <w:lang w:val="en-US"/>
        </w:rPr>
      </w:pPr>
    </w:p>
    <w:p w:rsidR="002D42BF" w:rsidRPr="002D42BF" w:rsidRDefault="002D42BF" w:rsidP="002D42BF">
      <w:pPr>
        <w:rPr>
          <w:rFonts w:cs="Arial"/>
          <w:sz w:val="22"/>
          <w:szCs w:val="22"/>
          <w:lang w:val="en-US"/>
        </w:rPr>
      </w:pPr>
    </w:p>
    <w:p w:rsidR="00D009F0" w:rsidRPr="002D42BF" w:rsidRDefault="00D009F0" w:rsidP="00D009F0">
      <w:pPr>
        <w:jc w:val="both"/>
        <w:rPr>
          <w:rFonts w:cs="Arial"/>
          <w:sz w:val="22"/>
          <w:szCs w:val="22"/>
          <w:lang w:val="en-US"/>
        </w:rPr>
      </w:pPr>
    </w:p>
    <w:p w:rsidR="00241F55" w:rsidRPr="0080222D" w:rsidRDefault="002D42BF" w:rsidP="00241F55">
      <w:pPr>
        <w:jc w:val="both"/>
        <w:rPr>
          <w:rFonts w:cs="Arial"/>
          <w:sz w:val="22"/>
          <w:szCs w:val="22"/>
          <w:lang w:val="en-US"/>
        </w:rPr>
      </w:pPr>
      <w:r w:rsidRPr="0080222D">
        <w:rPr>
          <w:rFonts w:cs="Arial"/>
          <w:sz w:val="22"/>
          <w:szCs w:val="22"/>
          <w:lang w:val="en-US"/>
        </w:rPr>
        <w:t>Kind regards</w:t>
      </w:r>
    </w:p>
    <w:p w:rsidR="00241F55" w:rsidRPr="0080222D" w:rsidRDefault="00241F55" w:rsidP="00241F55">
      <w:pPr>
        <w:jc w:val="both"/>
        <w:rPr>
          <w:rFonts w:cs="Arial"/>
          <w:sz w:val="22"/>
          <w:szCs w:val="22"/>
          <w:lang w:val="en-US"/>
        </w:rPr>
      </w:pPr>
    </w:p>
    <w:p w:rsidR="00482F9A" w:rsidRPr="0080222D" w:rsidRDefault="00482F9A" w:rsidP="00482F9A">
      <w:pPr>
        <w:pStyle w:val="Adresszeile"/>
        <w:framePr w:w="0" w:hRule="auto" w:wrap="auto" w:vAnchor="margin" w:xAlign="left" w:yAlign="inline"/>
        <w:rPr>
          <w:color w:val="auto"/>
          <w:sz w:val="22"/>
          <w:szCs w:val="22"/>
          <w:lang w:val="en-US"/>
        </w:rPr>
      </w:pPr>
      <w:r w:rsidRPr="0080222D">
        <w:rPr>
          <w:color w:val="auto"/>
          <w:sz w:val="22"/>
          <w:szCs w:val="22"/>
          <w:lang w:val="en-US"/>
        </w:rPr>
        <w:t>EUROPEAN RIGID PVC-FILM ASSOCIATION</w:t>
      </w:r>
    </w:p>
    <w:p w:rsidR="00D03506" w:rsidRPr="0080222D" w:rsidRDefault="00664660" w:rsidP="00482F9A">
      <w:pPr>
        <w:pStyle w:val="Adresszeile"/>
        <w:framePr w:w="0" w:hRule="auto" w:wrap="auto" w:vAnchor="margin" w:xAlign="left" w:yAlign="inline"/>
        <w:rPr>
          <w:color w:val="auto"/>
          <w:sz w:val="22"/>
          <w:szCs w:val="22"/>
          <w:lang w:val="en-US"/>
        </w:rPr>
      </w:pPr>
      <w:r w:rsidRPr="002D42BF">
        <w:rPr>
          <w:noProof/>
          <w:color w:val="auto"/>
          <w:sz w:val="22"/>
          <w:szCs w:val="22"/>
        </w:rPr>
        <w:drawing>
          <wp:anchor distT="0" distB="0" distL="114300" distR="114300" simplePos="0" relativeHeight="251658240" behindDoc="1" locked="0" layoutInCell="1" allowOverlap="1">
            <wp:simplePos x="0" y="0"/>
            <wp:positionH relativeFrom="column">
              <wp:posOffset>-396240</wp:posOffset>
            </wp:positionH>
            <wp:positionV relativeFrom="paragraph">
              <wp:posOffset>10160</wp:posOffset>
            </wp:positionV>
            <wp:extent cx="3457575" cy="1400175"/>
            <wp:effectExtent l="19050" t="0" r="9525" b="0"/>
            <wp:wrapNone/>
            <wp:docPr id="2" name="Bild 2" descr="~AUT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T0004"/>
                    <pic:cNvPicPr>
                      <a:picLocks noChangeAspect="1" noChangeArrowheads="1"/>
                    </pic:cNvPicPr>
                  </pic:nvPicPr>
                  <pic:blipFill>
                    <a:blip r:embed="rId9"/>
                    <a:srcRect/>
                    <a:stretch>
                      <a:fillRect/>
                    </a:stretch>
                  </pic:blipFill>
                  <pic:spPr bwMode="auto">
                    <a:xfrm>
                      <a:off x="0" y="0"/>
                      <a:ext cx="3457575" cy="1400175"/>
                    </a:xfrm>
                    <a:prstGeom prst="rect">
                      <a:avLst/>
                    </a:prstGeom>
                    <a:noFill/>
                    <a:ln w="9525">
                      <a:noFill/>
                      <a:miter lim="800000"/>
                      <a:headEnd/>
                      <a:tailEnd/>
                    </a:ln>
                  </pic:spPr>
                </pic:pic>
              </a:graphicData>
            </a:graphic>
          </wp:anchor>
        </w:drawing>
      </w:r>
    </w:p>
    <w:p w:rsidR="00241F55" w:rsidRPr="0080222D" w:rsidRDefault="00241F55" w:rsidP="00241F55">
      <w:pPr>
        <w:rPr>
          <w:rFonts w:cs="Arial"/>
          <w:sz w:val="22"/>
          <w:szCs w:val="22"/>
          <w:lang w:val="en-US"/>
        </w:rPr>
      </w:pPr>
    </w:p>
    <w:p w:rsidR="00D03506" w:rsidRPr="0080222D" w:rsidRDefault="00D03506" w:rsidP="00241F55">
      <w:pPr>
        <w:rPr>
          <w:rFonts w:cs="Arial"/>
          <w:sz w:val="22"/>
          <w:szCs w:val="22"/>
          <w:lang w:val="en-US"/>
        </w:rPr>
      </w:pPr>
    </w:p>
    <w:p w:rsidR="00482F9A" w:rsidRPr="0080222D" w:rsidRDefault="00482F9A" w:rsidP="00241F55">
      <w:pPr>
        <w:rPr>
          <w:rFonts w:cs="Arial"/>
          <w:sz w:val="22"/>
          <w:szCs w:val="22"/>
          <w:lang w:val="en-US"/>
        </w:rPr>
      </w:pPr>
    </w:p>
    <w:p w:rsidR="00482F9A" w:rsidRPr="0080222D" w:rsidRDefault="00482F9A" w:rsidP="00241F55">
      <w:pPr>
        <w:rPr>
          <w:rFonts w:cs="Arial"/>
          <w:sz w:val="22"/>
          <w:szCs w:val="22"/>
          <w:lang w:val="en-US"/>
        </w:rPr>
      </w:pPr>
    </w:p>
    <w:p w:rsidR="00241F55" w:rsidRPr="0080222D" w:rsidRDefault="00241F55" w:rsidP="00241F55">
      <w:pPr>
        <w:rPr>
          <w:rFonts w:cs="Arial"/>
          <w:sz w:val="22"/>
          <w:szCs w:val="22"/>
          <w:lang w:val="en-US"/>
        </w:rPr>
      </w:pPr>
    </w:p>
    <w:p w:rsidR="00241F55" w:rsidRPr="0080222D" w:rsidRDefault="00241F55" w:rsidP="00241F55">
      <w:pPr>
        <w:rPr>
          <w:rFonts w:cs="Arial"/>
          <w:sz w:val="22"/>
          <w:szCs w:val="22"/>
          <w:lang w:val="en-US"/>
        </w:rPr>
      </w:pPr>
    </w:p>
    <w:p w:rsidR="00241F55" w:rsidRPr="0080222D" w:rsidRDefault="00241F55" w:rsidP="00241F55">
      <w:pPr>
        <w:rPr>
          <w:rFonts w:cs="Arial"/>
          <w:sz w:val="22"/>
          <w:szCs w:val="22"/>
          <w:lang w:val="en-US"/>
        </w:rPr>
      </w:pPr>
    </w:p>
    <w:p w:rsidR="00664660" w:rsidRPr="0080222D" w:rsidRDefault="00664660" w:rsidP="00241F55">
      <w:pPr>
        <w:rPr>
          <w:rFonts w:cs="Arial"/>
          <w:sz w:val="22"/>
          <w:szCs w:val="22"/>
          <w:lang w:val="en-US"/>
        </w:rPr>
      </w:pPr>
    </w:p>
    <w:p w:rsidR="00241F55" w:rsidRPr="002D42BF" w:rsidRDefault="00241F55" w:rsidP="00241F55">
      <w:pPr>
        <w:rPr>
          <w:rFonts w:cs="Arial"/>
          <w:sz w:val="22"/>
          <w:szCs w:val="22"/>
        </w:rPr>
      </w:pPr>
      <w:r w:rsidRPr="002D42BF">
        <w:rPr>
          <w:rFonts w:cs="Arial"/>
          <w:sz w:val="22"/>
          <w:szCs w:val="22"/>
        </w:rPr>
        <w:t>Joachim Eckstein</w:t>
      </w:r>
    </w:p>
    <w:p w:rsidR="00241F55" w:rsidRPr="002D42BF" w:rsidRDefault="00241F55" w:rsidP="00241F55">
      <w:pPr>
        <w:rPr>
          <w:rFonts w:cs="Arial"/>
          <w:sz w:val="22"/>
          <w:szCs w:val="22"/>
        </w:rPr>
      </w:pPr>
      <w:proofErr w:type="spellStart"/>
      <w:r w:rsidRPr="002D42BF">
        <w:rPr>
          <w:rFonts w:cs="Arial"/>
          <w:sz w:val="22"/>
          <w:szCs w:val="22"/>
        </w:rPr>
        <w:t>Pr</w:t>
      </w:r>
      <w:r w:rsidR="002D42BF">
        <w:rPr>
          <w:rFonts w:cs="Arial"/>
          <w:sz w:val="22"/>
          <w:szCs w:val="22"/>
        </w:rPr>
        <w:t>e</w:t>
      </w:r>
      <w:r w:rsidRPr="002D42BF">
        <w:rPr>
          <w:rFonts w:cs="Arial"/>
          <w:sz w:val="22"/>
          <w:szCs w:val="22"/>
        </w:rPr>
        <w:t>sident</w:t>
      </w:r>
      <w:proofErr w:type="spellEnd"/>
    </w:p>
    <w:sectPr w:rsidR="00241F55" w:rsidRPr="002D42BF" w:rsidSect="00D009F0">
      <w:footerReference w:type="default" r:id="rId10"/>
      <w:pgSz w:w="11906" w:h="16838" w:code="9"/>
      <w:pgMar w:top="0" w:right="1134" w:bottom="567" w:left="1134" w:header="0"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6020" w:rsidRDefault="00F36020">
      <w:r>
        <w:separator/>
      </w:r>
    </w:p>
  </w:endnote>
  <w:endnote w:type="continuationSeparator" w:id="0">
    <w:p w:rsidR="00F36020" w:rsidRDefault="00F3602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41A" w:rsidRPr="00B61B1C" w:rsidRDefault="002D141A" w:rsidP="00AD1A45">
    <w:pPr>
      <w:pStyle w:val="Fuzeile"/>
      <w:rPr>
        <w:lang w:val="en-GB"/>
      </w:rPr>
    </w:pPr>
    <w:r w:rsidRPr="00B61B1C">
      <w:rPr>
        <w:lang w:val="en-GB"/>
      </w:rPr>
      <w:t>Operating</w:t>
    </w:r>
    <w:r>
      <w:rPr>
        <w:lang w:val="en-GB"/>
      </w:rPr>
      <w:t xml:space="preserve"> Office: </w:t>
    </w:r>
    <w:r w:rsidRPr="00B61B1C">
      <w:rPr>
        <w:lang w:val="en-GB"/>
      </w:rPr>
      <w:t>EUROPEAN RIGID PVC-FILM ASSOCIATION</w:t>
    </w:r>
    <w:r>
      <w:rPr>
        <w:lang w:val="en-GB"/>
      </w:rPr>
      <w:br/>
      <w:t xml:space="preserve">Avenue de </w:t>
    </w:r>
    <w:proofErr w:type="spellStart"/>
    <w:r>
      <w:rPr>
        <w:lang w:val="en-GB"/>
      </w:rPr>
      <w:t>Corthenbergh</w:t>
    </w:r>
    <w:proofErr w:type="spellEnd"/>
    <w:r>
      <w:rPr>
        <w:lang w:val="en-GB"/>
      </w:rPr>
      <w:t>, 71</w:t>
    </w:r>
    <w:r w:rsidRPr="00B61B1C">
      <w:rPr>
        <w:lang w:val="en-GB"/>
      </w:rPr>
      <w:t xml:space="preserve">, B-1040 </w:t>
    </w:r>
    <w:proofErr w:type="spellStart"/>
    <w:r w:rsidRPr="00B61B1C">
      <w:rPr>
        <w:lang w:val="en-GB"/>
      </w:rPr>
      <w:t>Bruxelles</w:t>
    </w:r>
    <w:proofErr w:type="spellEnd"/>
    <w:r>
      <w:rPr>
        <w:lang w:val="en-GB"/>
      </w:rPr>
      <w:t xml:space="preserve">, </w:t>
    </w:r>
    <w:r w:rsidRPr="00B61B1C">
      <w:rPr>
        <w:lang w:val="en-GB"/>
      </w:rPr>
      <w:t>Tel. +32/2/7324124, Fax +32/2/7324218</w:t>
    </w:r>
    <w:r>
      <w:rPr>
        <w:lang w:val="en-GB"/>
      </w:rPr>
      <w:br/>
    </w:r>
    <w:proofErr w:type="spellStart"/>
    <w:r>
      <w:rPr>
        <w:lang w:val="en-GB"/>
      </w:rPr>
      <w:t>Industriepark</w:t>
    </w:r>
    <w:proofErr w:type="spellEnd"/>
    <w:r>
      <w:rPr>
        <w:lang w:val="en-GB"/>
      </w:rPr>
      <w:t xml:space="preserve"> </w:t>
    </w:r>
    <w:proofErr w:type="spellStart"/>
    <w:r>
      <w:rPr>
        <w:lang w:val="en-GB"/>
      </w:rPr>
      <w:t>Höchst</w:t>
    </w:r>
    <w:proofErr w:type="spellEnd"/>
    <w:r>
      <w:rPr>
        <w:lang w:val="en-GB"/>
      </w:rPr>
      <w:t xml:space="preserve"> F821, D-65926 Frankfurt, Tel. +49/69/3057148, Fax +49/69/30516039</w:t>
    </w:r>
    <w:r>
      <w:rPr>
        <w:lang w:val="en-GB"/>
      </w:rPr>
      <w:br/>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6020" w:rsidRDefault="00F36020">
      <w:r>
        <w:separator/>
      </w:r>
    </w:p>
  </w:footnote>
  <w:footnote w:type="continuationSeparator" w:id="0">
    <w:p w:rsidR="00F36020" w:rsidRDefault="00F360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283E52E2"/>
    <w:lvl w:ilvl="0">
      <w:start w:val="1"/>
      <w:numFmt w:val="bullet"/>
      <w:lvlText w:val=""/>
      <w:lvlJc w:val="left"/>
      <w:pPr>
        <w:tabs>
          <w:tab w:val="num" w:pos="1492"/>
        </w:tabs>
        <w:ind w:left="1492" w:hanging="360"/>
      </w:pPr>
      <w:rPr>
        <w:rFonts w:ascii="Symbol" w:hAnsi="Symbol" w:hint="default"/>
      </w:rPr>
    </w:lvl>
  </w:abstractNum>
  <w:abstractNum w:abstractNumId="1">
    <w:nsid w:val="FFFFFF81"/>
    <w:multiLevelType w:val="singleLevel"/>
    <w:tmpl w:val="B1DCE2C2"/>
    <w:lvl w:ilvl="0">
      <w:start w:val="1"/>
      <w:numFmt w:val="bullet"/>
      <w:lvlText w:val=""/>
      <w:lvlJc w:val="left"/>
      <w:pPr>
        <w:tabs>
          <w:tab w:val="num" w:pos="1209"/>
        </w:tabs>
        <w:ind w:left="1209" w:hanging="360"/>
      </w:pPr>
      <w:rPr>
        <w:rFonts w:ascii="Symbol" w:hAnsi="Symbol" w:hint="default"/>
      </w:rPr>
    </w:lvl>
  </w:abstractNum>
  <w:abstractNum w:abstractNumId="2">
    <w:nsid w:val="FFFFFF82"/>
    <w:multiLevelType w:val="singleLevel"/>
    <w:tmpl w:val="3856C012"/>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7BBA00FC"/>
    <w:lvl w:ilvl="0">
      <w:start w:val="1"/>
      <w:numFmt w:val="bullet"/>
      <w:lvlText w:val=""/>
      <w:lvlJc w:val="left"/>
      <w:pPr>
        <w:tabs>
          <w:tab w:val="num" w:pos="643"/>
        </w:tabs>
        <w:ind w:left="643" w:hanging="360"/>
      </w:pPr>
      <w:rPr>
        <w:rFonts w:ascii="Symbol" w:hAnsi="Symbol" w:hint="default"/>
      </w:rPr>
    </w:lvl>
  </w:abstractNum>
  <w:abstractNum w:abstractNumId="4">
    <w:nsid w:val="FFFFFF89"/>
    <w:multiLevelType w:val="singleLevel"/>
    <w:tmpl w:val="FB8CC4F6"/>
    <w:lvl w:ilvl="0">
      <w:start w:val="1"/>
      <w:numFmt w:val="bullet"/>
      <w:lvlText w:val=""/>
      <w:lvlJc w:val="left"/>
      <w:pPr>
        <w:tabs>
          <w:tab w:val="num" w:pos="360"/>
        </w:tabs>
        <w:ind w:left="360" w:hanging="360"/>
      </w:pPr>
      <w:rPr>
        <w:rFonts w:ascii="Symbol" w:hAnsi="Symbol" w:hint="default"/>
      </w:rPr>
    </w:lvl>
  </w:abstractNum>
  <w:abstractNum w:abstractNumId="5">
    <w:nsid w:val="164D459B"/>
    <w:multiLevelType w:val="hybridMultilevel"/>
    <w:tmpl w:val="4B0205BA"/>
    <w:lvl w:ilvl="0" w:tplc="0407000F">
      <w:start w:val="1"/>
      <w:numFmt w:val="decimal"/>
      <w:lvlText w:val="%1."/>
      <w:lvlJc w:val="left"/>
      <w:pPr>
        <w:ind w:left="4472" w:hanging="360"/>
      </w:pPr>
      <w:rPr>
        <w:rFonts w:hint="default"/>
      </w:rPr>
    </w:lvl>
    <w:lvl w:ilvl="1" w:tplc="04070019" w:tentative="1">
      <w:start w:val="1"/>
      <w:numFmt w:val="lowerLetter"/>
      <w:lvlText w:val="%2."/>
      <w:lvlJc w:val="left"/>
      <w:pPr>
        <w:ind w:left="5192" w:hanging="360"/>
      </w:pPr>
    </w:lvl>
    <w:lvl w:ilvl="2" w:tplc="0407001B" w:tentative="1">
      <w:start w:val="1"/>
      <w:numFmt w:val="lowerRoman"/>
      <w:lvlText w:val="%3."/>
      <w:lvlJc w:val="right"/>
      <w:pPr>
        <w:ind w:left="5912" w:hanging="180"/>
      </w:pPr>
    </w:lvl>
    <w:lvl w:ilvl="3" w:tplc="0407000F" w:tentative="1">
      <w:start w:val="1"/>
      <w:numFmt w:val="decimal"/>
      <w:lvlText w:val="%4."/>
      <w:lvlJc w:val="left"/>
      <w:pPr>
        <w:ind w:left="6632" w:hanging="360"/>
      </w:pPr>
    </w:lvl>
    <w:lvl w:ilvl="4" w:tplc="04070019" w:tentative="1">
      <w:start w:val="1"/>
      <w:numFmt w:val="lowerLetter"/>
      <w:lvlText w:val="%5."/>
      <w:lvlJc w:val="left"/>
      <w:pPr>
        <w:ind w:left="7352" w:hanging="360"/>
      </w:pPr>
    </w:lvl>
    <w:lvl w:ilvl="5" w:tplc="0407001B" w:tentative="1">
      <w:start w:val="1"/>
      <w:numFmt w:val="lowerRoman"/>
      <w:lvlText w:val="%6."/>
      <w:lvlJc w:val="right"/>
      <w:pPr>
        <w:ind w:left="8072" w:hanging="180"/>
      </w:pPr>
    </w:lvl>
    <w:lvl w:ilvl="6" w:tplc="0407000F" w:tentative="1">
      <w:start w:val="1"/>
      <w:numFmt w:val="decimal"/>
      <w:lvlText w:val="%7."/>
      <w:lvlJc w:val="left"/>
      <w:pPr>
        <w:ind w:left="8792" w:hanging="360"/>
      </w:pPr>
    </w:lvl>
    <w:lvl w:ilvl="7" w:tplc="04070019" w:tentative="1">
      <w:start w:val="1"/>
      <w:numFmt w:val="lowerLetter"/>
      <w:lvlText w:val="%8."/>
      <w:lvlJc w:val="left"/>
      <w:pPr>
        <w:ind w:left="9512" w:hanging="360"/>
      </w:pPr>
    </w:lvl>
    <w:lvl w:ilvl="8" w:tplc="0407001B" w:tentative="1">
      <w:start w:val="1"/>
      <w:numFmt w:val="lowerRoman"/>
      <w:lvlText w:val="%9."/>
      <w:lvlJc w:val="right"/>
      <w:pPr>
        <w:ind w:left="10232" w:hanging="180"/>
      </w:pPr>
    </w:lvl>
  </w:abstractNum>
  <w:abstractNum w:abstractNumId="6">
    <w:nsid w:val="34990E5D"/>
    <w:multiLevelType w:val="multilevel"/>
    <w:tmpl w:val="6A86FD84"/>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576"/>
        </w:tabs>
        <w:ind w:left="576" w:hanging="576"/>
      </w:pPr>
      <w:rPr>
        <w:rFonts w:hint="default"/>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7">
    <w:nsid w:val="49005626"/>
    <w:multiLevelType w:val="hybridMultilevel"/>
    <w:tmpl w:val="995A84AC"/>
    <w:lvl w:ilvl="0" w:tplc="3DDA27BC">
      <w:start w:val="1"/>
      <w:numFmt w:val="bullet"/>
      <w:lvlText w:val="-"/>
      <w:lvlJc w:val="left"/>
      <w:pPr>
        <w:ind w:left="720" w:hanging="360"/>
      </w:pPr>
      <w:rPr>
        <w:rFonts w:ascii="Calibri" w:eastAsia="Times New Roman" w:hAnsi="Calibri"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4AE33459"/>
    <w:multiLevelType w:val="hybridMultilevel"/>
    <w:tmpl w:val="3936604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nsid w:val="6C0D0B1A"/>
    <w:multiLevelType w:val="hybridMultilevel"/>
    <w:tmpl w:val="84F2A784"/>
    <w:lvl w:ilvl="0" w:tplc="E5044710">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8"/>
  </w:num>
  <w:num w:numId="7">
    <w:abstractNumId w:val="9"/>
  </w:num>
  <w:num w:numId="8">
    <w:abstractNumId w:val="5"/>
  </w:num>
  <w:num w:numId="9">
    <w:abstractNumId w:val="6"/>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attachedTemplate r:id="rId1"/>
  <w:stylePaneFormatFilter w:val="3F01"/>
  <w:defaultTabStop w:val="708"/>
  <w:hyphenationZone w:val="425"/>
  <w:characterSpacingControl w:val="doNotCompress"/>
  <w:footnotePr>
    <w:footnote w:id="-1"/>
    <w:footnote w:id="0"/>
  </w:footnotePr>
  <w:endnotePr>
    <w:endnote w:id="-1"/>
    <w:endnote w:id="0"/>
  </w:endnotePr>
  <w:compat/>
  <w:rsids>
    <w:rsidRoot w:val="004D2FE0"/>
    <w:rsid w:val="00016CBE"/>
    <w:rsid w:val="0003041F"/>
    <w:rsid w:val="00031F21"/>
    <w:rsid w:val="0004316F"/>
    <w:rsid w:val="0005313B"/>
    <w:rsid w:val="00065D87"/>
    <w:rsid w:val="000A4DFD"/>
    <w:rsid w:val="000B086F"/>
    <w:rsid w:val="000B4121"/>
    <w:rsid w:val="000D1BAA"/>
    <w:rsid w:val="000E53AA"/>
    <w:rsid w:val="000E5714"/>
    <w:rsid w:val="001200C4"/>
    <w:rsid w:val="00122539"/>
    <w:rsid w:val="00144694"/>
    <w:rsid w:val="001555D7"/>
    <w:rsid w:val="00170F7D"/>
    <w:rsid w:val="00171C3F"/>
    <w:rsid w:val="00183182"/>
    <w:rsid w:val="001863FC"/>
    <w:rsid w:val="00193FD5"/>
    <w:rsid w:val="00195F5E"/>
    <w:rsid w:val="001B7DEE"/>
    <w:rsid w:val="001D676E"/>
    <w:rsid w:val="00241F55"/>
    <w:rsid w:val="00260E41"/>
    <w:rsid w:val="002741F4"/>
    <w:rsid w:val="002904B7"/>
    <w:rsid w:val="002B37DD"/>
    <w:rsid w:val="002D141A"/>
    <w:rsid w:val="002D3067"/>
    <w:rsid w:val="002D42BF"/>
    <w:rsid w:val="00304144"/>
    <w:rsid w:val="00361A4E"/>
    <w:rsid w:val="00362402"/>
    <w:rsid w:val="003D3C37"/>
    <w:rsid w:val="003E42C2"/>
    <w:rsid w:val="003E499C"/>
    <w:rsid w:val="003F1D6B"/>
    <w:rsid w:val="003F2B37"/>
    <w:rsid w:val="003F6A43"/>
    <w:rsid w:val="00412DB6"/>
    <w:rsid w:val="00416801"/>
    <w:rsid w:val="00462150"/>
    <w:rsid w:val="00462EAE"/>
    <w:rsid w:val="00475366"/>
    <w:rsid w:val="00482F9A"/>
    <w:rsid w:val="004B71B2"/>
    <w:rsid w:val="004B73EC"/>
    <w:rsid w:val="004D2FE0"/>
    <w:rsid w:val="004D641B"/>
    <w:rsid w:val="00520C86"/>
    <w:rsid w:val="005247BB"/>
    <w:rsid w:val="00527B52"/>
    <w:rsid w:val="00585CD8"/>
    <w:rsid w:val="005B3AAA"/>
    <w:rsid w:val="005D707D"/>
    <w:rsid w:val="006117D9"/>
    <w:rsid w:val="00637B36"/>
    <w:rsid w:val="00651C36"/>
    <w:rsid w:val="0065623A"/>
    <w:rsid w:val="00656A50"/>
    <w:rsid w:val="006572CB"/>
    <w:rsid w:val="00664660"/>
    <w:rsid w:val="00685E88"/>
    <w:rsid w:val="0069297A"/>
    <w:rsid w:val="006A346A"/>
    <w:rsid w:val="006B2AAA"/>
    <w:rsid w:val="006B7135"/>
    <w:rsid w:val="006D1B0E"/>
    <w:rsid w:val="00703E9A"/>
    <w:rsid w:val="00732141"/>
    <w:rsid w:val="00775737"/>
    <w:rsid w:val="00777C4C"/>
    <w:rsid w:val="00790BBD"/>
    <w:rsid w:val="007935A9"/>
    <w:rsid w:val="00795F23"/>
    <w:rsid w:val="007B57D4"/>
    <w:rsid w:val="007F1259"/>
    <w:rsid w:val="0080222D"/>
    <w:rsid w:val="00815B2B"/>
    <w:rsid w:val="00817A3A"/>
    <w:rsid w:val="008318F3"/>
    <w:rsid w:val="00853EF4"/>
    <w:rsid w:val="00887282"/>
    <w:rsid w:val="008D4968"/>
    <w:rsid w:val="008E210F"/>
    <w:rsid w:val="0092616E"/>
    <w:rsid w:val="009511E1"/>
    <w:rsid w:val="00957B2E"/>
    <w:rsid w:val="00987250"/>
    <w:rsid w:val="009A1B74"/>
    <w:rsid w:val="009F3454"/>
    <w:rsid w:val="00A203C0"/>
    <w:rsid w:val="00A4421C"/>
    <w:rsid w:val="00A550A7"/>
    <w:rsid w:val="00A731FB"/>
    <w:rsid w:val="00A8771F"/>
    <w:rsid w:val="00A977EF"/>
    <w:rsid w:val="00AA1EA4"/>
    <w:rsid w:val="00AD16E8"/>
    <w:rsid w:val="00AD1A45"/>
    <w:rsid w:val="00AF3F57"/>
    <w:rsid w:val="00AF491F"/>
    <w:rsid w:val="00AF5113"/>
    <w:rsid w:val="00B228D1"/>
    <w:rsid w:val="00B26C16"/>
    <w:rsid w:val="00B47229"/>
    <w:rsid w:val="00B54224"/>
    <w:rsid w:val="00B61B1C"/>
    <w:rsid w:val="00B73C62"/>
    <w:rsid w:val="00B74D8B"/>
    <w:rsid w:val="00BF2FEB"/>
    <w:rsid w:val="00BF3F21"/>
    <w:rsid w:val="00C12920"/>
    <w:rsid w:val="00C453B7"/>
    <w:rsid w:val="00C501B9"/>
    <w:rsid w:val="00C57B19"/>
    <w:rsid w:val="00C82B8C"/>
    <w:rsid w:val="00C830DD"/>
    <w:rsid w:val="00CC1E3D"/>
    <w:rsid w:val="00CC3B3C"/>
    <w:rsid w:val="00CD0D37"/>
    <w:rsid w:val="00CD79DC"/>
    <w:rsid w:val="00CF3492"/>
    <w:rsid w:val="00D009F0"/>
    <w:rsid w:val="00D03506"/>
    <w:rsid w:val="00D614FB"/>
    <w:rsid w:val="00DB1020"/>
    <w:rsid w:val="00DB5AC4"/>
    <w:rsid w:val="00DD0405"/>
    <w:rsid w:val="00DE1E58"/>
    <w:rsid w:val="00DE6099"/>
    <w:rsid w:val="00E011F7"/>
    <w:rsid w:val="00E108C4"/>
    <w:rsid w:val="00E63F50"/>
    <w:rsid w:val="00E662A1"/>
    <w:rsid w:val="00E674E2"/>
    <w:rsid w:val="00E73C54"/>
    <w:rsid w:val="00E86F62"/>
    <w:rsid w:val="00EB6D7E"/>
    <w:rsid w:val="00EE0231"/>
    <w:rsid w:val="00EE4742"/>
    <w:rsid w:val="00F16474"/>
    <w:rsid w:val="00F31DAC"/>
    <w:rsid w:val="00F3548F"/>
    <w:rsid w:val="00F36020"/>
    <w:rsid w:val="00F602A2"/>
    <w:rsid w:val="00F70D16"/>
    <w:rsid w:val="00F86DDB"/>
    <w:rsid w:val="00FC0235"/>
    <w:rsid w:val="00FC1F91"/>
    <w:rsid w:val="00FD5349"/>
    <w:rsid w:val="00FF57BB"/>
    <w:rsid w:val="00FF6E0E"/>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1" w:qFormat="1"/>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F1D6B"/>
    <w:rPr>
      <w:rFonts w:ascii="Arial" w:hAnsi="Arial"/>
      <w:sz w:val="24"/>
      <w:szCs w:val="24"/>
    </w:rPr>
  </w:style>
  <w:style w:type="paragraph" w:styleId="berschrift1">
    <w:name w:val="heading 1"/>
    <w:basedOn w:val="Standard"/>
    <w:next w:val="C1PlainText"/>
    <w:link w:val="berschrift1Zchn"/>
    <w:qFormat/>
    <w:locked/>
    <w:rsid w:val="002D42BF"/>
    <w:pPr>
      <w:keepNext/>
      <w:numPr>
        <w:numId w:val="9"/>
      </w:numPr>
      <w:overflowPunct w:val="0"/>
      <w:autoSpaceDE w:val="0"/>
      <w:autoSpaceDN w:val="0"/>
      <w:adjustRightInd w:val="0"/>
      <w:spacing w:before="360"/>
      <w:textAlignment w:val="baseline"/>
      <w:outlineLvl w:val="0"/>
    </w:pPr>
    <w:rPr>
      <w:rFonts w:ascii="Calibri" w:hAnsi="Calibri"/>
      <w:b/>
      <w:caps/>
      <w:color w:val="FF7D28"/>
      <w:kern w:val="28"/>
      <w:szCs w:val="20"/>
      <w:lang w:val="en-GB" w:eastAsia="en-US"/>
    </w:rPr>
  </w:style>
  <w:style w:type="paragraph" w:styleId="berschrift2">
    <w:name w:val="heading 2"/>
    <w:basedOn w:val="Standard"/>
    <w:next w:val="C1PlainText"/>
    <w:link w:val="berschrift2Zchn"/>
    <w:qFormat/>
    <w:locked/>
    <w:rsid w:val="002D42BF"/>
    <w:pPr>
      <w:keepNext/>
      <w:numPr>
        <w:ilvl w:val="1"/>
        <w:numId w:val="9"/>
      </w:numPr>
      <w:overflowPunct w:val="0"/>
      <w:autoSpaceDE w:val="0"/>
      <w:autoSpaceDN w:val="0"/>
      <w:adjustRightInd w:val="0"/>
      <w:spacing w:before="360"/>
      <w:textAlignment w:val="baseline"/>
      <w:outlineLvl w:val="1"/>
    </w:pPr>
    <w:rPr>
      <w:rFonts w:ascii="Calibri" w:hAnsi="Calibri"/>
      <w:b/>
      <w:color w:val="FF7D28"/>
      <w:szCs w:val="20"/>
      <w:lang w:val="en-GB" w:eastAsia="en-US"/>
    </w:rPr>
  </w:style>
  <w:style w:type="paragraph" w:styleId="berschrift3">
    <w:name w:val="heading 3"/>
    <w:basedOn w:val="Standard"/>
    <w:next w:val="C1PlainText"/>
    <w:link w:val="berschrift3Zchn"/>
    <w:qFormat/>
    <w:locked/>
    <w:rsid w:val="002D42BF"/>
    <w:pPr>
      <w:keepNext/>
      <w:numPr>
        <w:ilvl w:val="2"/>
        <w:numId w:val="9"/>
      </w:numPr>
      <w:overflowPunct w:val="0"/>
      <w:autoSpaceDE w:val="0"/>
      <w:autoSpaceDN w:val="0"/>
      <w:adjustRightInd w:val="0"/>
      <w:spacing w:before="360"/>
      <w:textAlignment w:val="baseline"/>
      <w:outlineLvl w:val="2"/>
    </w:pPr>
    <w:rPr>
      <w:rFonts w:ascii="Calibri" w:hAnsi="Calibri"/>
      <w:b/>
      <w:color w:val="FF7D28"/>
      <w:szCs w:val="20"/>
      <w:lang w:val="en-GB" w:eastAsia="en-US"/>
    </w:rPr>
  </w:style>
  <w:style w:type="paragraph" w:styleId="berschrift4">
    <w:name w:val="heading 4"/>
    <w:basedOn w:val="Standard"/>
    <w:next w:val="C1PlainText"/>
    <w:link w:val="berschrift4Zchn"/>
    <w:qFormat/>
    <w:locked/>
    <w:rsid w:val="002D42BF"/>
    <w:pPr>
      <w:keepNext/>
      <w:numPr>
        <w:ilvl w:val="3"/>
        <w:numId w:val="9"/>
      </w:numPr>
      <w:overflowPunct w:val="0"/>
      <w:autoSpaceDE w:val="0"/>
      <w:autoSpaceDN w:val="0"/>
      <w:adjustRightInd w:val="0"/>
      <w:spacing w:before="360"/>
      <w:textAlignment w:val="baseline"/>
      <w:outlineLvl w:val="3"/>
    </w:pPr>
    <w:rPr>
      <w:rFonts w:ascii="Calibri" w:hAnsi="Calibri"/>
      <w:b/>
      <w:bCs/>
      <w:color w:val="FF7D28"/>
      <w:szCs w:val="28"/>
      <w:lang w:val="en-GB" w:eastAsia="en-US"/>
    </w:rPr>
  </w:style>
  <w:style w:type="paragraph" w:styleId="berschrift5">
    <w:name w:val="heading 5"/>
    <w:basedOn w:val="Standard"/>
    <w:next w:val="Standard"/>
    <w:link w:val="berschrift5Zchn"/>
    <w:qFormat/>
    <w:locked/>
    <w:rsid w:val="002D42BF"/>
    <w:pPr>
      <w:numPr>
        <w:ilvl w:val="4"/>
        <w:numId w:val="9"/>
      </w:numPr>
      <w:overflowPunct w:val="0"/>
      <w:autoSpaceDE w:val="0"/>
      <w:autoSpaceDN w:val="0"/>
      <w:adjustRightInd w:val="0"/>
      <w:spacing w:before="240" w:after="60"/>
      <w:textAlignment w:val="baseline"/>
      <w:outlineLvl w:val="4"/>
    </w:pPr>
    <w:rPr>
      <w:rFonts w:ascii="Calibri" w:hAnsi="Calibri"/>
      <w:b/>
      <w:bCs/>
      <w:iCs/>
      <w:color w:val="FF7D28"/>
      <w:szCs w:val="26"/>
      <w:lang w:val="en-GB" w:eastAsia="en-US"/>
    </w:rPr>
  </w:style>
  <w:style w:type="paragraph" w:styleId="berschrift6">
    <w:name w:val="heading 6"/>
    <w:basedOn w:val="Standard"/>
    <w:next w:val="Standard"/>
    <w:link w:val="berschrift6Zchn"/>
    <w:qFormat/>
    <w:locked/>
    <w:rsid w:val="002D42BF"/>
    <w:pPr>
      <w:numPr>
        <w:ilvl w:val="5"/>
        <w:numId w:val="9"/>
      </w:numPr>
      <w:overflowPunct w:val="0"/>
      <w:autoSpaceDE w:val="0"/>
      <w:autoSpaceDN w:val="0"/>
      <w:adjustRightInd w:val="0"/>
      <w:spacing w:before="240" w:after="60"/>
      <w:textAlignment w:val="baseline"/>
      <w:outlineLvl w:val="5"/>
    </w:pPr>
    <w:rPr>
      <w:rFonts w:ascii="Calibri" w:hAnsi="Calibri"/>
      <w:b/>
      <w:bCs/>
      <w:color w:val="FF7D28"/>
      <w:szCs w:val="22"/>
      <w:lang w:val="en-GB" w:eastAsia="en-US"/>
    </w:rPr>
  </w:style>
  <w:style w:type="paragraph" w:styleId="berschrift7">
    <w:name w:val="heading 7"/>
    <w:basedOn w:val="Standard"/>
    <w:next w:val="Standard"/>
    <w:link w:val="berschrift7Zchn"/>
    <w:locked/>
    <w:rsid w:val="002D42BF"/>
    <w:pPr>
      <w:numPr>
        <w:ilvl w:val="6"/>
        <w:numId w:val="9"/>
      </w:numPr>
      <w:overflowPunct w:val="0"/>
      <w:autoSpaceDE w:val="0"/>
      <w:autoSpaceDN w:val="0"/>
      <w:adjustRightInd w:val="0"/>
      <w:spacing w:before="240" w:after="60"/>
      <w:textAlignment w:val="baseline"/>
      <w:outlineLvl w:val="6"/>
    </w:pPr>
    <w:rPr>
      <w:rFonts w:ascii="Calibri" w:hAnsi="Calibri"/>
      <w:color w:val="FF7D28"/>
      <w:lang w:val="en-GB" w:eastAsia="en-US"/>
    </w:rPr>
  </w:style>
  <w:style w:type="paragraph" w:styleId="berschrift8">
    <w:name w:val="heading 8"/>
    <w:basedOn w:val="Standard"/>
    <w:next w:val="Standard"/>
    <w:link w:val="berschrift8Zchn"/>
    <w:locked/>
    <w:rsid w:val="002D42BF"/>
    <w:pPr>
      <w:numPr>
        <w:ilvl w:val="7"/>
        <w:numId w:val="9"/>
      </w:numPr>
      <w:overflowPunct w:val="0"/>
      <w:autoSpaceDE w:val="0"/>
      <w:autoSpaceDN w:val="0"/>
      <w:adjustRightInd w:val="0"/>
      <w:spacing w:before="240" w:after="60"/>
      <w:textAlignment w:val="baseline"/>
      <w:outlineLvl w:val="7"/>
    </w:pPr>
    <w:rPr>
      <w:rFonts w:ascii="Calibri" w:hAnsi="Calibri"/>
      <w:iCs/>
      <w:color w:val="FF7D28"/>
      <w:lang w:val="en-GB" w:eastAsia="en-US"/>
    </w:rPr>
  </w:style>
  <w:style w:type="paragraph" w:styleId="berschrift9">
    <w:name w:val="heading 9"/>
    <w:basedOn w:val="Standard"/>
    <w:next w:val="Standard"/>
    <w:link w:val="berschrift9Zchn"/>
    <w:locked/>
    <w:rsid w:val="002D42BF"/>
    <w:pPr>
      <w:numPr>
        <w:ilvl w:val="8"/>
        <w:numId w:val="9"/>
      </w:numPr>
      <w:overflowPunct w:val="0"/>
      <w:autoSpaceDE w:val="0"/>
      <w:autoSpaceDN w:val="0"/>
      <w:adjustRightInd w:val="0"/>
      <w:spacing w:before="240" w:after="60"/>
      <w:textAlignment w:val="baseline"/>
      <w:outlineLvl w:val="8"/>
    </w:pPr>
    <w:rPr>
      <w:rFonts w:ascii="Calibri" w:hAnsi="Calibri" w:cs="Arial"/>
      <w:color w:val="FF7D28"/>
      <w:szCs w:val="22"/>
      <w:lang w:val="en-GB"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Name">
    <w:name w:val="Name"/>
    <w:basedOn w:val="Standard"/>
    <w:uiPriority w:val="99"/>
    <w:rsid w:val="00DD0405"/>
    <w:pPr>
      <w:framePr w:w="1985" w:h="567" w:hRule="exact" w:wrap="notBeside" w:hAnchor="margin" w:y="1362"/>
      <w:shd w:val="solid" w:color="FFFFFF" w:fill="FFFFFF"/>
    </w:pPr>
    <w:rPr>
      <w:rFonts w:cs="Arial"/>
      <w:color w:val="5D7BAF"/>
    </w:rPr>
  </w:style>
  <w:style w:type="paragraph" w:customStyle="1" w:styleId="Adresstextfett">
    <w:name w:val="Adresstext_fett"/>
    <w:basedOn w:val="Standard"/>
    <w:uiPriority w:val="99"/>
    <w:rsid w:val="00DD0405"/>
    <w:pPr>
      <w:framePr w:w="2835" w:h="2268" w:hRule="exact" w:wrap="around" w:vAnchor="text" w:hAnchor="text" w:x="7145" w:y="2099"/>
      <w:shd w:val="solid" w:color="FFFFFF" w:fill="FFFFFF"/>
      <w:spacing w:line="220" w:lineRule="exact"/>
    </w:pPr>
    <w:rPr>
      <w:rFonts w:cs="Arial"/>
      <w:b/>
      <w:color w:val="5D7BAF"/>
      <w:sz w:val="16"/>
      <w:szCs w:val="16"/>
      <w:lang w:val="fr-FR"/>
    </w:rPr>
  </w:style>
  <w:style w:type="paragraph" w:customStyle="1" w:styleId="Adresstext">
    <w:name w:val="Adresstext"/>
    <w:basedOn w:val="Standard"/>
    <w:uiPriority w:val="99"/>
    <w:rsid w:val="00DD0405"/>
    <w:pPr>
      <w:framePr w:w="2835" w:h="2268" w:hRule="exact" w:wrap="around" w:vAnchor="text" w:hAnchor="text" w:x="7145" w:y="2099"/>
      <w:shd w:val="solid" w:color="FFFFFF" w:fill="FFFFFF"/>
      <w:spacing w:line="220" w:lineRule="exact"/>
    </w:pPr>
    <w:rPr>
      <w:rFonts w:cs="Arial"/>
      <w:color w:val="5D7BAF"/>
      <w:sz w:val="16"/>
      <w:szCs w:val="16"/>
    </w:rPr>
  </w:style>
  <w:style w:type="paragraph" w:customStyle="1" w:styleId="Fliesstext">
    <w:name w:val="Fliesstext"/>
    <w:basedOn w:val="Standard"/>
    <w:uiPriority w:val="99"/>
    <w:rsid w:val="003F1D6B"/>
    <w:rPr>
      <w:rFonts w:cs="Arial"/>
      <w:szCs w:val="22"/>
    </w:rPr>
  </w:style>
  <w:style w:type="paragraph" w:styleId="Kopfzeile">
    <w:name w:val="header"/>
    <w:basedOn w:val="Standard"/>
    <w:link w:val="KopfzeileZchn"/>
    <w:uiPriority w:val="99"/>
    <w:rsid w:val="00DD0405"/>
    <w:pPr>
      <w:tabs>
        <w:tab w:val="center" w:pos="4536"/>
        <w:tab w:val="right" w:pos="9072"/>
      </w:tabs>
    </w:pPr>
    <w:rPr>
      <w:color w:val="5D7BAF"/>
      <w:sz w:val="18"/>
      <w:szCs w:val="18"/>
    </w:rPr>
  </w:style>
  <w:style w:type="character" w:customStyle="1" w:styleId="KopfzeileZchn">
    <w:name w:val="Kopfzeile Zchn"/>
    <w:basedOn w:val="Absatz-Standardschriftart"/>
    <w:link w:val="Kopfzeile"/>
    <w:uiPriority w:val="99"/>
    <w:semiHidden/>
    <w:locked/>
    <w:rsid w:val="00170F7D"/>
    <w:rPr>
      <w:rFonts w:ascii="Arial" w:hAnsi="Arial" w:cs="Times New Roman"/>
      <w:sz w:val="24"/>
      <w:szCs w:val="24"/>
    </w:rPr>
  </w:style>
  <w:style w:type="paragraph" w:styleId="Fuzeile">
    <w:name w:val="footer"/>
    <w:basedOn w:val="Standard"/>
    <w:link w:val="FuzeileZchn"/>
    <w:uiPriority w:val="99"/>
    <w:rsid w:val="00AD1A45"/>
    <w:pPr>
      <w:tabs>
        <w:tab w:val="center" w:pos="4536"/>
        <w:tab w:val="right" w:pos="9072"/>
      </w:tabs>
      <w:jc w:val="center"/>
    </w:pPr>
    <w:rPr>
      <w:color w:val="5D7BAF"/>
      <w:sz w:val="18"/>
      <w:szCs w:val="18"/>
    </w:rPr>
  </w:style>
  <w:style w:type="character" w:customStyle="1" w:styleId="FuzeileZchn">
    <w:name w:val="Fußzeile Zchn"/>
    <w:basedOn w:val="Absatz-Standardschriftart"/>
    <w:link w:val="Fuzeile"/>
    <w:uiPriority w:val="99"/>
    <w:semiHidden/>
    <w:locked/>
    <w:rsid w:val="00170F7D"/>
    <w:rPr>
      <w:rFonts w:ascii="Arial" w:hAnsi="Arial" w:cs="Times New Roman"/>
      <w:sz w:val="24"/>
      <w:szCs w:val="24"/>
    </w:rPr>
  </w:style>
  <w:style w:type="paragraph" w:customStyle="1" w:styleId="Position">
    <w:name w:val="Position"/>
    <w:basedOn w:val="Name"/>
    <w:uiPriority w:val="99"/>
    <w:rsid w:val="003F1D6B"/>
    <w:pPr>
      <w:framePr w:wrap="notBeside"/>
      <w:spacing w:line="240" w:lineRule="exact"/>
    </w:pPr>
    <w:rPr>
      <w:sz w:val="18"/>
      <w:szCs w:val="18"/>
    </w:rPr>
  </w:style>
  <w:style w:type="paragraph" w:customStyle="1" w:styleId="Adresszeile">
    <w:name w:val="Adresszeile"/>
    <w:basedOn w:val="Adresstext"/>
    <w:uiPriority w:val="99"/>
    <w:rsid w:val="00AD1A45"/>
    <w:pPr>
      <w:framePr w:wrap="around"/>
      <w:spacing w:line="240" w:lineRule="auto"/>
    </w:pPr>
  </w:style>
  <w:style w:type="paragraph" w:styleId="Sprechblasentext">
    <w:name w:val="Balloon Text"/>
    <w:basedOn w:val="Standard"/>
    <w:link w:val="SprechblasentextZchn"/>
    <w:uiPriority w:val="99"/>
    <w:semiHidden/>
    <w:unhideWhenUsed/>
    <w:rsid w:val="00CD0D3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D0D37"/>
    <w:rPr>
      <w:rFonts w:ascii="Tahoma" w:hAnsi="Tahoma" w:cs="Tahoma"/>
      <w:sz w:val="16"/>
      <w:szCs w:val="16"/>
    </w:rPr>
  </w:style>
  <w:style w:type="character" w:styleId="Hyperlink">
    <w:name w:val="Hyperlink"/>
    <w:basedOn w:val="Absatz-Standardschriftart"/>
    <w:uiPriority w:val="99"/>
    <w:unhideWhenUsed/>
    <w:rsid w:val="00B74D8B"/>
    <w:rPr>
      <w:color w:val="0000FF"/>
      <w:u w:val="single"/>
    </w:rPr>
  </w:style>
  <w:style w:type="paragraph" w:customStyle="1" w:styleId="CM1">
    <w:name w:val="CM1"/>
    <w:basedOn w:val="Standard"/>
    <w:next w:val="Standard"/>
    <w:uiPriority w:val="99"/>
    <w:rsid w:val="00E674E2"/>
    <w:pPr>
      <w:autoSpaceDE w:val="0"/>
      <w:autoSpaceDN w:val="0"/>
      <w:adjustRightInd w:val="0"/>
    </w:pPr>
    <w:rPr>
      <w:rFonts w:ascii="Times New Roman" w:eastAsiaTheme="minorHAnsi" w:hAnsi="Times New Roman"/>
      <w:lang w:eastAsia="en-US"/>
    </w:rPr>
  </w:style>
  <w:style w:type="paragraph" w:styleId="StandardWeb">
    <w:name w:val="Normal (Web)"/>
    <w:basedOn w:val="Standard"/>
    <w:uiPriority w:val="99"/>
    <w:rsid w:val="00241F55"/>
    <w:pPr>
      <w:spacing w:before="100" w:beforeAutospacing="1" w:after="100" w:afterAutospacing="1"/>
    </w:pPr>
    <w:rPr>
      <w:rFonts w:ascii="Times New Roman" w:hAnsi="Times New Roman"/>
    </w:rPr>
  </w:style>
  <w:style w:type="character" w:customStyle="1" w:styleId="detailtitle">
    <w:name w:val="detailtitle"/>
    <w:basedOn w:val="Absatz-Standardschriftart"/>
    <w:rsid w:val="00412DB6"/>
  </w:style>
  <w:style w:type="paragraph" w:customStyle="1" w:styleId="CM4">
    <w:name w:val="CM4"/>
    <w:basedOn w:val="Standard"/>
    <w:next w:val="Standard"/>
    <w:uiPriority w:val="99"/>
    <w:rsid w:val="008318F3"/>
    <w:pPr>
      <w:autoSpaceDE w:val="0"/>
      <w:autoSpaceDN w:val="0"/>
      <w:adjustRightInd w:val="0"/>
    </w:pPr>
    <w:rPr>
      <w:rFonts w:ascii="Times New Roman" w:eastAsia="SimSun" w:hAnsi="Times New Roman"/>
    </w:rPr>
  </w:style>
  <w:style w:type="character" w:styleId="Fett">
    <w:name w:val="Strong"/>
    <w:basedOn w:val="Absatz-Standardschriftart"/>
    <w:uiPriority w:val="22"/>
    <w:qFormat/>
    <w:locked/>
    <w:rsid w:val="00A977EF"/>
    <w:rPr>
      <w:b/>
      <w:bCs/>
    </w:rPr>
  </w:style>
  <w:style w:type="paragraph" w:styleId="Listenabsatz">
    <w:name w:val="List Paragraph"/>
    <w:basedOn w:val="Standard"/>
    <w:uiPriority w:val="34"/>
    <w:qFormat/>
    <w:rsid w:val="003F6A43"/>
    <w:pPr>
      <w:ind w:left="720"/>
      <w:contextualSpacing/>
    </w:pPr>
  </w:style>
  <w:style w:type="paragraph" w:styleId="Textkrper">
    <w:name w:val="Body Text"/>
    <w:basedOn w:val="Standard"/>
    <w:link w:val="TextkrperZchn"/>
    <w:uiPriority w:val="1"/>
    <w:qFormat/>
    <w:rsid w:val="00D009F0"/>
    <w:pPr>
      <w:widowControl w:val="0"/>
      <w:ind w:left="114"/>
    </w:pPr>
    <w:rPr>
      <w:rFonts w:eastAsia="Arial" w:cstheme="minorBidi"/>
      <w:sz w:val="20"/>
      <w:szCs w:val="20"/>
      <w:lang w:val="en-US" w:eastAsia="en-US"/>
    </w:rPr>
  </w:style>
  <w:style w:type="character" w:customStyle="1" w:styleId="TextkrperZchn">
    <w:name w:val="Textkörper Zchn"/>
    <w:basedOn w:val="Absatz-Standardschriftart"/>
    <w:link w:val="Textkrper"/>
    <w:uiPriority w:val="1"/>
    <w:rsid w:val="00D009F0"/>
    <w:rPr>
      <w:rFonts w:ascii="Arial" w:eastAsia="Arial" w:hAnsi="Arial" w:cstheme="minorBidi"/>
      <w:sz w:val="20"/>
      <w:szCs w:val="20"/>
      <w:lang w:val="en-US" w:eastAsia="en-US"/>
    </w:rPr>
  </w:style>
  <w:style w:type="paragraph" w:customStyle="1" w:styleId="Heading1">
    <w:name w:val="Heading 1"/>
    <w:basedOn w:val="Standard"/>
    <w:uiPriority w:val="1"/>
    <w:qFormat/>
    <w:rsid w:val="00D009F0"/>
    <w:pPr>
      <w:widowControl w:val="0"/>
      <w:spacing w:before="25"/>
      <w:ind w:left="114"/>
      <w:outlineLvl w:val="1"/>
    </w:pPr>
    <w:rPr>
      <w:rFonts w:eastAsia="Arial" w:cstheme="minorBidi"/>
      <w:b/>
      <w:bCs/>
      <w:sz w:val="20"/>
      <w:szCs w:val="20"/>
      <w:lang w:val="en-US" w:eastAsia="en-US"/>
    </w:rPr>
  </w:style>
  <w:style w:type="character" w:styleId="Hervorhebung">
    <w:name w:val="Emphasis"/>
    <w:basedOn w:val="Absatz-Standardschriftart"/>
    <w:uiPriority w:val="20"/>
    <w:qFormat/>
    <w:locked/>
    <w:rsid w:val="00D009F0"/>
    <w:rPr>
      <w:i/>
      <w:iCs/>
    </w:rPr>
  </w:style>
  <w:style w:type="character" w:customStyle="1" w:styleId="berschrift1Zchn">
    <w:name w:val="Überschrift 1 Zchn"/>
    <w:basedOn w:val="Absatz-Standardschriftart"/>
    <w:link w:val="berschrift1"/>
    <w:rsid w:val="002D42BF"/>
    <w:rPr>
      <w:rFonts w:ascii="Calibri" w:hAnsi="Calibri"/>
      <w:b/>
      <w:caps/>
      <w:color w:val="FF7D28"/>
      <w:kern w:val="28"/>
      <w:sz w:val="24"/>
      <w:szCs w:val="20"/>
      <w:lang w:val="en-GB" w:eastAsia="en-US"/>
    </w:rPr>
  </w:style>
  <w:style w:type="character" w:customStyle="1" w:styleId="berschrift2Zchn">
    <w:name w:val="Überschrift 2 Zchn"/>
    <w:basedOn w:val="Absatz-Standardschriftart"/>
    <w:link w:val="berschrift2"/>
    <w:rsid w:val="002D42BF"/>
    <w:rPr>
      <w:rFonts w:ascii="Calibri" w:hAnsi="Calibri"/>
      <w:b/>
      <w:color w:val="FF7D28"/>
      <w:sz w:val="24"/>
      <w:szCs w:val="20"/>
      <w:lang w:val="en-GB" w:eastAsia="en-US"/>
    </w:rPr>
  </w:style>
  <w:style w:type="character" w:customStyle="1" w:styleId="berschrift3Zchn">
    <w:name w:val="Überschrift 3 Zchn"/>
    <w:basedOn w:val="Absatz-Standardschriftart"/>
    <w:link w:val="berschrift3"/>
    <w:rsid w:val="002D42BF"/>
    <w:rPr>
      <w:rFonts w:ascii="Calibri" w:hAnsi="Calibri"/>
      <w:b/>
      <w:color w:val="FF7D28"/>
      <w:sz w:val="24"/>
      <w:szCs w:val="20"/>
      <w:lang w:val="en-GB" w:eastAsia="en-US"/>
    </w:rPr>
  </w:style>
  <w:style w:type="character" w:customStyle="1" w:styleId="berschrift4Zchn">
    <w:name w:val="Überschrift 4 Zchn"/>
    <w:basedOn w:val="Absatz-Standardschriftart"/>
    <w:link w:val="berschrift4"/>
    <w:rsid w:val="002D42BF"/>
    <w:rPr>
      <w:rFonts w:ascii="Calibri" w:hAnsi="Calibri"/>
      <w:b/>
      <w:bCs/>
      <w:color w:val="FF7D28"/>
      <w:sz w:val="24"/>
      <w:szCs w:val="28"/>
      <w:lang w:val="en-GB" w:eastAsia="en-US"/>
    </w:rPr>
  </w:style>
  <w:style w:type="character" w:customStyle="1" w:styleId="berschrift5Zchn">
    <w:name w:val="Überschrift 5 Zchn"/>
    <w:basedOn w:val="Absatz-Standardschriftart"/>
    <w:link w:val="berschrift5"/>
    <w:rsid w:val="002D42BF"/>
    <w:rPr>
      <w:rFonts w:ascii="Calibri" w:hAnsi="Calibri"/>
      <w:b/>
      <w:bCs/>
      <w:iCs/>
      <w:color w:val="FF7D28"/>
      <w:sz w:val="24"/>
      <w:szCs w:val="26"/>
      <w:lang w:val="en-GB" w:eastAsia="en-US"/>
    </w:rPr>
  </w:style>
  <w:style w:type="character" w:customStyle="1" w:styleId="berschrift6Zchn">
    <w:name w:val="Überschrift 6 Zchn"/>
    <w:basedOn w:val="Absatz-Standardschriftart"/>
    <w:link w:val="berschrift6"/>
    <w:rsid w:val="002D42BF"/>
    <w:rPr>
      <w:rFonts w:ascii="Calibri" w:hAnsi="Calibri"/>
      <w:b/>
      <w:bCs/>
      <w:color w:val="FF7D28"/>
      <w:sz w:val="24"/>
      <w:lang w:val="en-GB" w:eastAsia="en-US"/>
    </w:rPr>
  </w:style>
  <w:style w:type="character" w:customStyle="1" w:styleId="berschrift7Zchn">
    <w:name w:val="Überschrift 7 Zchn"/>
    <w:basedOn w:val="Absatz-Standardschriftart"/>
    <w:link w:val="berschrift7"/>
    <w:rsid w:val="002D42BF"/>
    <w:rPr>
      <w:rFonts w:ascii="Calibri" w:hAnsi="Calibri"/>
      <w:color w:val="FF7D28"/>
      <w:sz w:val="24"/>
      <w:szCs w:val="24"/>
      <w:lang w:val="en-GB" w:eastAsia="en-US"/>
    </w:rPr>
  </w:style>
  <w:style w:type="character" w:customStyle="1" w:styleId="berschrift8Zchn">
    <w:name w:val="Überschrift 8 Zchn"/>
    <w:basedOn w:val="Absatz-Standardschriftart"/>
    <w:link w:val="berschrift8"/>
    <w:rsid w:val="002D42BF"/>
    <w:rPr>
      <w:rFonts w:ascii="Calibri" w:hAnsi="Calibri"/>
      <w:iCs/>
      <w:color w:val="FF7D28"/>
      <w:sz w:val="24"/>
      <w:szCs w:val="24"/>
      <w:lang w:val="en-GB" w:eastAsia="en-US"/>
    </w:rPr>
  </w:style>
  <w:style w:type="character" w:customStyle="1" w:styleId="berschrift9Zchn">
    <w:name w:val="Überschrift 9 Zchn"/>
    <w:basedOn w:val="Absatz-Standardschriftart"/>
    <w:link w:val="berschrift9"/>
    <w:rsid w:val="002D42BF"/>
    <w:rPr>
      <w:rFonts w:ascii="Calibri" w:hAnsi="Calibri" w:cs="Arial"/>
      <w:color w:val="FF7D28"/>
      <w:sz w:val="24"/>
      <w:lang w:val="en-GB" w:eastAsia="en-US"/>
    </w:rPr>
  </w:style>
  <w:style w:type="paragraph" w:customStyle="1" w:styleId="C0PlainText">
    <w:name w:val="C0 Plain Text"/>
    <w:basedOn w:val="Standard"/>
    <w:link w:val="C0PlainTextChar"/>
    <w:qFormat/>
    <w:rsid w:val="002D42BF"/>
    <w:pPr>
      <w:overflowPunct w:val="0"/>
      <w:autoSpaceDE w:val="0"/>
      <w:autoSpaceDN w:val="0"/>
      <w:adjustRightInd w:val="0"/>
      <w:spacing w:before="120" w:after="120"/>
      <w:jc w:val="both"/>
      <w:textAlignment w:val="baseline"/>
    </w:pPr>
    <w:rPr>
      <w:rFonts w:ascii="Calibri" w:hAnsi="Calibri"/>
      <w:szCs w:val="20"/>
      <w:lang w:val="en-GB" w:eastAsia="en-US"/>
    </w:rPr>
  </w:style>
  <w:style w:type="paragraph" w:customStyle="1" w:styleId="C1PlainText">
    <w:name w:val="C1 Plain Text"/>
    <w:basedOn w:val="Standard"/>
    <w:link w:val="C1PlainTextChar"/>
    <w:qFormat/>
    <w:rsid w:val="002D42BF"/>
    <w:pPr>
      <w:overflowPunct w:val="0"/>
      <w:autoSpaceDE w:val="0"/>
      <w:autoSpaceDN w:val="0"/>
      <w:adjustRightInd w:val="0"/>
      <w:spacing w:before="120" w:after="120"/>
      <w:ind w:left="1298"/>
      <w:jc w:val="both"/>
      <w:textAlignment w:val="baseline"/>
    </w:pPr>
    <w:rPr>
      <w:rFonts w:ascii="Calibri" w:hAnsi="Calibri"/>
      <w:szCs w:val="20"/>
      <w:lang w:val="en-GB" w:eastAsia="en-US"/>
    </w:rPr>
  </w:style>
  <w:style w:type="character" w:customStyle="1" w:styleId="C1PlainTextChar">
    <w:name w:val="C1 Plain Text Char"/>
    <w:basedOn w:val="Absatz-Standardschriftart"/>
    <w:link w:val="C1PlainText"/>
    <w:locked/>
    <w:rsid w:val="002D42BF"/>
    <w:rPr>
      <w:rFonts w:ascii="Calibri" w:hAnsi="Calibri"/>
      <w:sz w:val="24"/>
      <w:szCs w:val="20"/>
      <w:lang w:val="en-GB" w:eastAsia="en-US"/>
    </w:rPr>
  </w:style>
  <w:style w:type="character" w:customStyle="1" w:styleId="C0PlainTextChar">
    <w:name w:val="C0 Plain Text Char"/>
    <w:link w:val="C0PlainText"/>
    <w:rsid w:val="002D42BF"/>
    <w:rPr>
      <w:rFonts w:ascii="Calibri" w:hAnsi="Calibri"/>
      <w:sz w:val="24"/>
      <w:szCs w:val="20"/>
      <w:lang w:val="en-GB" w:eastAsia="en-US"/>
    </w:rPr>
  </w:style>
</w:styles>
</file>

<file path=word/webSettings.xml><?xml version="1.0" encoding="utf-8"?>
<w:webSettings xmlns:r="http://schemas.openxmlformats.org/officeDocument/2006/relationships" xmlns:w="http://schemas.openxmlformats.org/wordprocessingml/2006/main">
  <w:divs>
    <w:div w:id="610743816">
      <w:bodyDiv w:val="1"/>
      <w:marLeft w:val="0"/>
      <w:marRight w:val="0"/>
      <w:marTop w:val="0"/>
      <w:marBottom w:val="0"/>
      <w:divBdr>
        <w:top w:val="none" w:sz="0" w:space="0" w:color="auto"/>
        <w:left w:val="none" w:sz="0" w:space="0" w:color="auto"/>
        <w:bottom w:val="none" w:sz="0" w:space="0" w:color="auto"/>
        <w:right w:val="none" w:sz="0" w:space="0" w:color="auto"/>
      </w:divBdr>
    </w:div>
    <w:div w:id="1042361711">
      <w:bodyDiv w:val="1"/>
      <w:marLeft w:val="0"/>
      <w:marRight w:val="0"/>
      <w:marTop w:val="0"/>
      <w:marBottom w:val="0"/>
      <w:divBdr>
        <w:top w:val="none" w:sz="0" w:space="0" w:color="auto"/>
        <w:left w:val="none" w:sz="0" w:space="0" w:color="auto"/>
        <w:bottom w:val="none" w:sz="0" w:space="0" w:color="auto"/>
        <w:right w:val="none" w:sz="0" w:space="0" w:color="auto"/>
      </w:divBdr>
    </w:div>
    <w:div w:id="1388918195">
      <w:bodyDiv w:val="1"/>
      <w:marLeft w:val="0"/>
      <w:marRight w:val="0"/>
      <w:marTop w:val="0"/>
      <w:marBottom w:val="0"/>
      <w:divBdr>
        <w:top w:val="none" w:sz="0" w:space="0" w:color="auto"/>
        <w:left w:val="none" w:sz="0" w:space="0" w:color="auto"/>
        <w:bottom w:val="none" w:sz="0" w:space="0" w:color="auto"/>
        <w:right w:val="none" w:sz="0" w:space="0" w:color="auto"/>
      </w:divBdr>
    </w:div>
    <w:div w:id="1680234647">
      <w:bodyDiv w:val="1"/>
      <w:marLeft w:val="0"/>
      <w:marRight w:val="0"/>
      <w:marTop w:val="0"/>
      <w:marBottom w:val="0"/>
      <w:divBdr>
        <w:top w:val="none" w:sz="0" w:space="0" w:color="auto"/>
        <w:left w:val="none" w:sz="0" w:space="0" w:color="auto"/>
        <w:bottom w:val="none" w:sz="0" w:space="0" w:color="auto"/>
        <w:right w:val="none" w:sz="0" w:space="0" w:color="auto"/>
      </w:divBdr>
    </w:div>
    <w:div w:id="195875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ext1971r\Lokale%20Einstellungen\Temporary%20Internet%20Files\Content.MSO\CC2D8C7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831E04-1DB9-4E38-B75E-DD16EE93BA1F}"/>
</file>

<file path=customXml/itemProps2.xml><?xml version="1.0" encoding="utf-8"?>
<ds:datastoreItem xmlns:ds="http://schemas.openxmlformats.org/officeDocument/2006/customXml" ds:itemID="{2B4F6CA3-7609-4D63-9022-96F6D7A95894}"/>
</file>

<file path=customXml/itemProps3.xml><?xml version="1.0" encoding="utf-8"?>
<ds:datastoreItem xmlns:ds="http://schemas.openxmlformats.org/officeDocument/2006/customXml" ds:itemID="{EC2A9B00-9470-441F-97F8-E4D809A7A595}"/>
</file>

<file path=customXml/itemProps4.xml><?xml version="1.0" encoding="utf-8"?>
<ds:datastoreItem xmlns:ds="http://schemas.openxmlformats.org/officeDocument/2006/customXml" ds:itemID="{9EC9B922-DCBB-4A35-859D-6DCB479EE5B8}"/>
</file>

<file path=docProps/app.xml><?xml version="1.0" encoding="utf-8"?>
<Properties xmlns="http://schemas.openxmlformats.org/officeDocument/2006/extended-properties" xmlns:vt="http://schemas.openxmlformats.org/officeDocument/2006/docPropsVTypes">
  <Template>CC2D8C78</Template>
  <TotalTime>0</TotalTime>
  <Pages>4</Pages>
  <Words>1426</Words>
  <Characters>8990</Characters>
  <Application>Microsoft Office Word</Application>
  <DocSecurity>0</DocSecurity>
  <Lines>74</Lines>
  <Paragraphs>20</Paragraphs>
  <ScaleCrop>false</ScaleCrop>
  <HeadingPairs>
    <vt:vector size="2" baseType="variant">
      <vt:variant>
        <vt:lpstr>Titel</vt:lpstr>
      </vt:variant>
      <vt:variant>
        <vt:i4>1</vt:i4>
      </vt:variant>
    </vt:vector>
  </HeadingPairs>
  <TitlesOfParts>
    <vt:vector size="1" baseType="lpstr">
      <vt:lpstr>Joachim Eckstein</vt:lpstr>
    </vt:vector>
  </TitlesOfParts>
  <Company/>
  <LinksUpToDate>false</LinksUpToDate>
  <CharactersWithSpaces>10396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Joachim Eckstein</dc:title>
  <dc:creator>Dröge, Sabine</dc:creator>
  <cp:lastModifiedBy>AnjaLaqua</cp:lastModifiedBy>
  <cp:revision>2</cp:revision>
  <cp:lastPrinted>2014-10-07T13:27:00Z</cp:lastPrinted>
  <dcterms:created xsi:type="dcterms:W3CDTF">2014-10-15T10:16:00Z</dcterms:created>
  <dcterms:modified xsi:type="dcterms:W3CDTF">2014-10-15T10:16:00Z</dcterms:modified>
</cp:coreProperties>
</file>